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344A">
      <w:pPr>
        <w:pageBreakBefore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7E4A1F2F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8"/>
          <w:szCs w:val="38"/>
        </w:rPr>
      </w:pPr>
    </w:p>
    <w:p w14:paraId="13930752">
      <w:pPr>
        <w:spacing w:line="560" w:lineRule="exact"/>
        <w:jc w:val="center"/>
        <w:rPr>
          <w:rFonts w:ascii="方正小标宋简体" w:hAnsi="Times New Roman" w:eastAsia="方正小标宋简体" w:cs="Times New Roman"/>
          <w:sz w:val="38"/>
          <w:szCs w:val="3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</w:rPr>
        <w:t>于漪教育教学思想研究与实践项目</w:t>
      </w:r>
      <w:r>
        <w:rPr>
          <w:rFonts w:hint="eastAsia" w:ascii="方正小标宋简体" w:hAnsi="Times New Roman" w:eastAsia="方正小标宋简体" w:cs="Times New Roman"/>
          <w:sz w:val="38"/>
          <w:szCs w:val="38"/>
          <w:lang w:val="en-US" w:eastAsia="zh-CN"/>
        </w:rPr>
        <w:t>选题</w:t>
      </w:r>
      <w:r>
        <w:rPr>
          <w:rFonts w:hint="eastAsia" w:ascii="方正小标宋简体" w:hAnsi="Times New Roman" w:eastAsia="方正小标宋简体" w:cs="Times New Roman"/>
          <w:sz w:val="38"/>
          <w:szCs w:val="38"/>
        </w:rPr>
        <w:t>指南</w:t>
      </w:r>
      <w:bookmarkEnd w:id="0"/>
    </w:p>
    <w:p w14:paraId="269B51B2">
      <w:pPr>
        <w:adjustRightInd w:val="0"/>
        <w:snapToGrid w:val="0"/>
        <w:spacing w:line="600" w:lineRule="exact"/>
        <w:ind w:firstLine="588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《</w:t>
      </w:r>
      <w:r>
        <w:rPr>
          <w:rFonts w:ascii="仿宋_GB2312" w:hAnsi="Times New Roman" w:eastAsia="仿宋_GB2312" w:cs="Times New Roman"/>
          <w:sz w:val="30"/>
          <w:szCs w:val="30"/>
        </w:rPr>
        <w:t>于漪教育教学思想研究与实践项目选题指南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》（下文简称《指南》）</w:t>
      </w:r>
      <w:r>
        <w:rPr>
          <w:rFonts w:ascii="仿宋_GB2312" w:hAnsi="Times New Roman" w:eastAsia="仿宋_GB2312" w:cs="Times New Roman"/>
          <w:sz w:val="30"/>
          <w:szCs w:val="30"/>
        </w:rPr>
        <w:t>分为</w:t>
      </w:r>
      <w:r>
        <w:rPr>
          <w:rFonts w:hint="eastAsia" w:ascii="仿宋_GB2312" w:hAnsi="Times New Roman" w:eastAsia="仿宋_GB2312" w:cs="Times New Roman"/>
          <w:sz w:val="30"/>
          <w:szCs w:val="30"/>
        </w:rPr>
        <w:t>重点项目和一般项目两类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重点项目须按本《指南》中各选题进行申报，不得变更。一般项目除参照本《指南》选题外，也可</w:t>
      </w:r>
      <w:r>
        <w:rPr>
          <w:rFonts w:ascii="仿宋_GB2312" w:hAnsi="Times New Roman" w:eastAsia="仿宋_GB2312" w:cs="Times New Roman"/>
          <w:sz w:val="30"/>
          <w:szCs w:val="30"/>
        </w:rPr>
        <w:t>自拟选题。原则上每个选题只确立1个立项项目。</w:t>
      </w:r>
    </w:p>
    <w:p w14:paraId="273C5FED">
      <w:pPr>
        <w:adjustRightInd w:val="0"/>
        <w:snapToGrid w:val="0"/>
        <w:spacing w:line="600" w:lineRule="exact"/>
        <w:ind w:firstLine="588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一、重点项目 </w:t>
      </w:r>
    </w:p>
    <w:p w14:paraId="04CEDD3B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1.于漪教育教学思想的体系化研究</w:t>
      </w:r>
    </w:p>
    <w:p w14:paraId="7EAB249F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2.中国基础教育教师学自主知识体系建构</w:t>
      </w:r>
    </w:p>
    <w:p w14:paraId="32959600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</w:t>
      </w:r>
      <w:r>
        <w:rPr>
          <w:rFonts w:ascii="仿宋_GB2312" w:hAnsi="Times New Roman" w:eastAsia="仿宋_GB2312" w:cs="Times New Roman"/>
          <w:sz w:val="30"/>
          <w:szCs w:val="30"/>
        </w:rPr>
        <w:t>于漪教育家精神图谱的绘制及应用研究</w:t>
      </w:r>
    </w:p>
    <w:p w14:paraId="7BDA284A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4.于漪式好校长的数字画像建构与应用</w:t>
      </w:r>
    </w:p>
    <w:p w14:paraId="36CBFFDB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5.于漪式好教师的数字画像建构与应用</w:t>
      </w:r>
    </w:p>
    <w:p w14:paraId="79A24C9E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6.于漪教育教学实践中的教育伦理意蕴及启示</w:t>
      </w:r>
    </w:p>
    <w:p w14:paraId="7F6C93D2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7.于漪“德智融合”思想引领下的学科育人模式创新研究</w:t>
      </w:r>
    </w:p>
    <w:p w14:paraId="2A47B037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8.于漪教育教学思想的时代意义与价值研究</w:t>
      </w:r>
    </w:p>
    <w:p w14:paraId="5214AF2E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9.中外教育家教育教学思想比较研究</w:t>
      </w:r>
    </w:p>
    <w:p w14:paraId="0F1808E8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10.于漪教育教学思想的传承创新机制与路径研究</w:t>
      </w:r>
    </w:p>
    <w:p w14:paraId="12CD7057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二、一般项目</w:t>
      </w:r>
    </w:p>
    <w:p w14:paraId="372E77E3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1.于漪教育教学思想的发展过程与形成机制研究</w:t>
      </w:r>
    </w:p>
    <w:p w14:paraId="4835F1DB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2.于漪教育教学思想中人民性的表现、特点与动因研究</w:t>
      </w:r>
    </w:p>
    <w:p w14:paraId="56EE6E0E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3.于漪教育教学思想外译与传播研究</w:t>
      </w:r>
    </w:p>
    <w:p w14:paraId="3C75E3F4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4.于漪教育教学实践中的育人智慧研究</w:t>
      </w:r>
    </w:p>
    <w:p w14:paraId="30D55C96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5.于漪“德智融合”教育教学实践的艺术研究</w:t>
      </w:r>
    </w:p>
    <w:p w14:paraId="071E734C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6.于漪教育教学思想的应用场景研究</w:t>
      </w:r>
    </w:p>
    <w:p w14:paraId="78506EEC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7.基于新时代学生特点的育人方式创新研究</w:t>
      </w:r>
    </w:p>
    <w:p w14:paraId="5A14AFFC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8.新时代新教师群体特征与成长支持研究</w:t>
      </w:r>
    </w:p>
    <w:p w14:paraId="5D578B48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9.基于于漪教师发展观的校本研修治理体系创新研究</w:t>
      </w:r>
    </w:p>
    <w:p w14:paraId="3E40BD5E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10.于漪教育教学思想引领下的教师师德养成校本路径研究</w:t>
      </w:r>
    </w:p>
    <w:p w14:paraId="5022858F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11.其他</w:t>
      </w:r>
    </w:p>
    <w:p w14:paraId="4A885C75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 w14:paraId="00399E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E0C9D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A25665"/>
    <w:rsid w:val="110E0C9D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9146CC"/>
    <w:rsid w:val="1A220B06"/>
    <w:rsid w:val="1D9729E6"/>
    <w:rsid w:val="1F6E668B"/>
    <w:rsid w:val="1F856188"/>
    <w:rsid w:val="21996FFC"/>
    <w:rsid w:val="22EC0BAF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AFB4219"/>
    <w:rsid w:val="2BA63A5F"/>
    <w:rsid w:val="2BF06A52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896530"/>
    <w:rsid w:val="58F97EAB"/>
    <w:rsid w:val="59985065"/>
    <w:rsid w:val="5EB50A3A"/>
    <w:rsid w:val="5EED3AF3"/>
    <w:rsid w:val="5F021094"/>
    <w:rsid w:val="5F78751D"/>
    <w:rsid w:val="5FA716A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0"/>
    <w:pPr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5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character" w:customStyle="1" w:styleId="14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5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6">
    <w:name w:val="标题 1 Char"/>
    <w:link w:val="2"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2025-04-17T01:15:00Z</dcterms:created>
  <dc:creator>晓峰</dc:creator>
  <cp:lastModifiedBy>晓峰</cp:lastModifiedBy>
  <dcterms:modified xsi:type="dcterms:W3CDTF">2025-04-17T01:16:03Z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2F743B2D9348460898108A42ECB6A0D8_11</vt:lpwstr>
  </property>
  <property fmtid="{D5CDD505-2E9C-101B-9397-08002B2CF9AE}" pid="4" name="KSOTemplateDocerSaveRecord">
    <vt:lpwstr>eyJoZGlkIjoiZWY4N2NjZDdkYjI0YjlmMDJkYmI4MzVjMzM4MTcyNjkiLCJ1c2VySWQiOiIxMTMxNTY5MTkzIn0=</vt:lpwstr>
  </property>
</Properties>
</file>