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E72ED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mc:AlternateContent>
        <mc:Choice Requires="wpsCustomData">
          <wpsCustomData:docfieldStart id="0" docfieldname="标题" hidden="0" print="1" readonly="0" index="23"/>
        </mc:Choice>
      </mc:AlternateContent>
      <w:r>
        <w:rPr>
          <w:rFonts w:hint="eastAsia" w:ascii="宋体" w:hAnsi="宋体" w:eastAsia="宋体" w:cs="宋体"/>
          <w:b/>
          <w:bCs/>
          <w:sz w:val="32"/>
          <w:szCs w:val="32"/>
        </w:rPr>
        <w:t>浦东新区学科工作坊主持人考核细则</w:t>
      </w:r>
    </w:p>
    <w:p w14:paraId="7F549A6F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试行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mc:AlternateContent>
        <mc:Choice Requires="wpsCustomData">
          <wpsCustomData:docfieldEnd id="0"/>
        </mc:Choice>
      </mc:AlternateContent>
    </w:p>
    <w:p w14:paraId="2FEF8635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mc:AlternateContent>
        <mc:Choice Requires="wpsCustomData">
          <wpsCustomData:docfieldStart id="1" docfieldname="正文" hidden="0" print="1" readonly="0" index="22"/>
        </mc:Choice>
      </mc:AlternateContent>
    </w:p>
    <w:p w14:paraId="1BF7070E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确保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学科工作坊主持人在浦东新区教育教学、教师队伍发展中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切实发挥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引领作用，通过学科工作坊培养一批教育情怀深厚、专业基础扎实、示范引领突出的教师，带动区域教师队伍整体蓬勃发展、教育质量内涵提升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产出丰富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实践研究成果，根据《关于加强浦东新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highlight w:val="none"/>
        </w:rPr>
        <w:t>区优秀教师梯队培养的实施意见》（浦教人〔2024〕3号）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文件精神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制定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"/>
          <w:woUserID w:val="1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细则。</w:t>
      </w:r>
    </w:p>
    <w:p w14:paraId="7ACDEE3D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考核形式和时限</w:t>
      </w:r>
    </w:p>
    <w:p w14:paraId="20D622F8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本细则适用于浦东新区2024-2026学年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学科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工作坊主持人考核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每学年考核一次。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考核采用材料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的方式进行。</w:t>
      </w:r>
      <w:r>
        <w:rPr>
          <w:rFonts w:hint="eastAsia" w:ascii="仿宋" w:hAnsi="仿宋" w:eastAsia="仿宋" w:cs="仿宋"/>
          <w:sz w:val="28"/>
          <w:szCs w:val="28"/>
        </w:rPr>
        <w:t>考核材料有效时间为本年度9月1日到下一年度8月31日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其中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2024学年考核材料有效时间为2025年3月1日至2025年8月31日。</w:t>
      </w:r>
    </w:p>
    <w:p w14:paraId="559CAFBF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二、考核内容</w:t>
      </w:r>
    </w:p>
    <w:p w14:paraId="1B10DA44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考核内容分为三个部分，指标和对应分值见下表。</w:t>
      </w:r>
    </w:p>
    <w:tbl>
      <w:tblPr>
        <w:tblStyle w:val="18"/>
        <w:tblW w:w="46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2736"/>
        <w:gridCol w:w="2194"/>
        <w:gridCol w:w="3041"/>
      </w:tblGrid>
      <w:tr w14:paraId="0D94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716" w:type="pct"/>
            <w:vAlign w:val="center"/>
          </w:tcPr>
          <w:p w14:paraId="021CB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考核内容</w:t>
            </w:r>
          </w:p>
        </w:tc>
        <w:tc>
          <w:tcPr>
            <w:tcW w:w="1376" w:type="pct"/>
            <w:vAlign w:val="center"/>
          </w:tcPr>
          <w:p w14:paraId="57368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指标</w:t>
            </w:r>
          </w:p>
        </w:tc>
        <w:tc>
          <w:tcPr>
            <w:tcW w:w="1907" w:type="pct"/>
            <w:vAlign w:val="center"/>
          </w:tcPr>
          <w:p w14:paraId="10117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分值</w:t>
            </w:r>
          </w:p>
        </w:tc>
      </w:tr>
      <w:tr w14:paraId="318E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pct"/>
            <w:vAlign w:val="center"/>
          </w:tcPr>
          <w:p w14:paraId="049AF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修养</w:t>
            </w:r>
          </w:p>
        </w:tc>
        <w:tc>
          <w:tcPr>
            <w:tcW w:w="1376" w:type="pct"/>
            <w:vAlign w:val="center"/>
          </w:tcPr>
          <w:p w14:paraId="75F34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师德表现</w:t>
            </w:r>
          </w:p>
        </w:tc>
        <w:tc>
          <w:tcPr>
            <w:tcW w:w="1907" w:type="pct"/>
            <w:vAlign w:val="center"/>
          </w:tcPr>
          <w:p w14:paraId="2A034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一票否决</w:t>
            </w:r>
          </w:p>
        </w:tc>
      </w:tr>
      <w:tr w14:paraId="2CCE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716" w:type="pct"/>
            <w:vAlign w:val="center"/>
          </w:tcPr>
          <w:p w14:paraId="10E88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"/>
                <w:woUserID w:val="2"/>
              </w:rPr>
              <w:t>研修设计与实施</w:t>
            </w:r>
          </w:p>
        </w:tc>
        <w:tc>
          <w:tcPr>
            <w:tcW w:w="1376" w:type="pct"/>
            <w:vAlign w:val="center"/>
          </w:tcPr>
          <w:p w14:paraId="4E779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实施次数和材料上传情况</w:t>
            </w:r>
          </w:p>
        </w:tc>
        <w:tc>
          <w:tcPr>
            <w:tcW w:w="1907" w:type="pct"/>
            <w:vAlign w:val="center"/>
          </w:tcPr>
          <w:p w14:paraId="11350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  <w:woUserID w:val="1"/>
              </w:rPr>
              <w:t>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"/>
                <w:woUserID w:val="1"/>
              </w:rPr>
              <w:t>满足要求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  <w:woUserID w:val="1"/>
              </w:rPr>
              <w:t>，一票否决</w:t>
            </w:r>
          </w:p>
          <w:p w14:paraId="17D767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满足要求即为合格</w:t>
            </w:r>
          </w:p>
        </w:tc>
      </w:tr>
      <w:tr w14:paraId="5CC3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pct"/>
            <w:vMerge w:val="restart"/>
            <w:vAlign w:val="center"/>
          </w:tcPr>
          <w:p w14:paraId="07DE9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学员发展成效</w:t>
            </w:r>
          </w:p>
        </w:tc>
        <w:tc>
          <w:tcPr>
            <w:tcW w:w="1376" w:type="pct"/>
            <w:vAlign w:val="center"/>
          </w:tcPr>
          <w:p w14:paraId="40533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学术成果</w:t>
            </w:r>
          </w:p>
        </w:tc>
        <w:tc>
          <w:tcPr>
            <w:tcW w:w="1907" w:type="pct"/>
            <w:vMerge w:val="restart"/>
            <w:vAlign w:val="center"/>
          </w:tcPr>
          <w:p w14:paraId="2B49F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详见解读</w:t>
            </w:r>
          </w:p>
        </w:tc>
      </w:tr>
      <w:tr w14:paraId="130C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pct"/>
            <w:vMerge w:val="continue"/>
            <w:vAlign w:val="center"/>
          </w:tcPr>
          <w:p w14:paraId="414380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6" w:type="pct"/>
            <w:vAlign w:val="center"/>
          </w:tcPr>
          <w:p w14:paraId="34BC4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"/>
                <w:woUserID w:val="1"/>
              </w:rPr>
              <w:t>教育科研</w:t>
            </w:r>
          </w:p>
        </w:tc>
        <w:tc>
          <w:tcPr>
            <w:tcW w:w="1907" w:type="pct"/>
            <w:vMerge w:val="continue"/>
            <w:vAlign w:val="center"/>
          </w:tcPr>
          <w:p w14:paraId="6F1388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18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pct"/>
            <w:vMerge w:val="continue"/>
            <w:vAlign w:val="center"/>
          </w:tcPr>
          <w:p w14:paraId="2F8C7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6" w:type="pct"/>
            <w:vAlign w:val="center"/>
          </w:tcPr>
          <w:p w14:paraId="3E824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职称晋升</w:t>
            </w:r>
          </w:p>
        </w:tc>
        <w:tc>
          <w:tcPr>
            <w:tcW w:w="1907" w:type="pct"/>
            <w:vMerge w:val="continue"/>
            <w:vAlign w:val="center"/>
          </w:tcPr>
          <w:p w14:paraId="067303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C13C7C7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黑体" w:hAnsi="黑体" w:eastAsia="黑体" w:cs="黑体"/>
          <w:b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考核内容解读</w:t>
      </w:r>
    </w:p>
    <w:p w14:paraId="75A6E66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楷体" w:hAnsi="楷体" w:eastAsia="楷体" w:cs="楷体"/>
          <w:b w:val="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师德修养</w:t>
      </w:r>
    </w:p>
    <w:p w14:paraId="56BCDFD7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实行师德一票否决制。师德修养的考核由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主持人</w:t>
      </w:r>
      <w:r>
        <w:rPr>
          <w:rFonts w:hint="eastAsia" w:ascii="仿宋" w:hAnsi="仿宋" w:eastAsia="仿宋" w:cs="仿宋"/>
          <w:sz w:val="28"/>
          <w:szCs w:val="28"/>
        </w:rPr>
        <w:t>聘任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实施认定并提供证明。师德不合格者，考核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结果</w:t>
      </w:r>
      <w:r>
        <w:rPr>
          <w:rFonts w:hint="eastAsia" w:ascii="仿宋" w:hAnsi="仿宋" w:eastAsia="仿宋" w:cs="仿宋"/>
          <w:sz w:val="28"/>
          <w:szCs w:val="28"/>
        </w:rPr>
        <w:t>为不合格。</w:t>
      </w:r>
    </w:p>
    <w:p w14:paraId="293D194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）研修设计与实施</w:t>
      </w:r>
    </w:p>
    <w:p w14:paraId="4025FBE2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要求如下，所有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都达标该项方可合格：</w:t>
      </w:r>
    </w:p>
    <w:p w14:paraId="1C6F47C8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实践研究项目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书、学年度计划和学年度总结上传平台。</w:t>
      </w:r>
    </w:p>
    <w:p w14:paraId="3A379F68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default" w:ascii="仿宋" w:hAnsi="仿宋" w:eastAsia="仿宋" w:cs="仿宋"/>
          <w:b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每学年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非寒暑假相关月份不少于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1次，线下</w:t>
      </w:r>
      <w:r>
        <w:rPr>
          <w:rFonts w:hint="eastAsia" w:ascii="仿宋" w:hAnsi="仿宋" w:eastAsia="仿宋" w:cs="仿宋"/>
          <w:sz w:val="28"/>
          <w:szCs w:val="28"/>
        </w:rPr>
        <w:t>集中活动不得少于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次。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2024学年至少8次（线下集中活动不少于6次）。</w:t>
      </w:r>
    </w:p>
    <w:p w14:paraId="44592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活动有考勤和过程记录。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平台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上传材料为考核</w:t>
      </w:r>
      <w:r>
        <w:rPr>
          <w:rFonts w:hint="eastAsia" w:ascii="仿宋" w:hAnsi="仿宋" w:eastAsia="仿宋" w:cs="仿宋"/>
          <w:sz w:val="28"/>
          <w:szCs w:val="28"/>
        </w:rPr>
        <w:t>依据，未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按时、按要求</w:t>
      </w:r>
      <w:r>
        <w:rPr>
          <w:rFonts w:hint="eastAsia" w:ascii="仿宋" w:hAnsi="仿宋" w:eastAsia="仿宋" w:cs="仿宋"/>
          <w:sz w:val="28"/>
          <w:szCs w:val="28"/>
        </w:rPr>
        <w:t>上传活动考勤和过程记录材料视为未完成。材料须在活动后7日内上传。首次未上传者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给予提醒</w:t>
      </w:r>
      <w:r>
        <w:rPr>
          <w:rFonts w:hint="eastAsia" w:ascii="仿宋" w:hAnsi="仿宋" w:eastAsia="仿宋" w:cs="仿宋"/>
          <w:sz w:val="28"/>
          <w:szCs w:val="28"/>
        </w:rPr>
        <w:t>，两次未上传者，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不合格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2024学年材料8月底前上传。</w:t>
      </w:r>
    </w:p>
    <w:p w14:paraId="1C10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学员满意率不低于80%。</w:t>
      </w:r>
    </w:p>
    <w:p w14:paraId="126A893C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cs="楷体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cs="楷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楷体" w:hAnsi="楷体" w:cs="楷体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学员发展成效</w:t>
      </w:r>
    </w:p>
    <w:p w14:paraId="49294BD1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学术成果</w:t>
      </w:r>
      <w:r>
        <w:rPr>
          <w:rFonts w:hint="eastAsia" w:ascii="仿宋" w:hAnsi="仿宋" w:eastAsia="仿宋" w:cs="仿宋"/>
          <w:sz w:val="28"/>
          <w:szCs w:val="28"/>
        </w:rPr>
        <w:t>（每位学员限报</w:t>
      </w:r>
      <w:r>
        <w:rPr>
          <w:rFonts w:hint="eastAsia" w:ascii="仿宋" w:hAnsi="仿宋" w:eastAsia="仿宋" w:cs="仿宋"/>
          <w:sz w:val="28"/>
          <w:szCs w:val="28"/>
          <w:lang w:eastAsia="zh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项）</w:t>
      </w:r>
    </w:p>
    <w:p w14:paraId="2EDC9B26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“学术成果”指工作坊学员在考核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期内获得的公开学术成果，包括论文、著作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等，</w:t>
      </w:r>
      <w:r>
        <w:rPr>
          <w:rFonts w:hint="eastAsia" w:ascii="仿宋" w:hAnsi="仿宋" w:eastAsia="仿宋" w:cs="仿宋"/>
          <w:sz w:val="28"/>
          <w:szCs w:val="28"/>
        </w:rPr>
        <w:t>具体如下。</w:t>
      </w:r>
    </w:p>
    <w:p w14:paraId="6B64A951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核心刊物上发表的论文</w:t>
      </w:r>
      <w:r>
        <w:rPr>
          <w:rFonts w:hint="eastAsia" w:ascii="仿宋" w:hAnsi="仿宋" w:eastAsia="仿宋" w:cs="仿宋"/>
          <w:sz w:val="28"/>
          <w:szCs w:val="28"/>
          <w:woUserID w:val="2"/>
        </w:rPr>
        <w:t>（可认定第一作者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2"/>
        </w:rPr>
        <w:t>、</w:t>
      </w:r>
      <w:r>
        <w:rPr>
          <w:rFonts w:hint="eastAsia" w:ascii="仿宋" w:hAnsi="仿宋" w:eastAsia="仿宋" w:cs="仿宋"/>
          <w:sz w:val="28"/>
          <w:szCs w:val="28"/>
          <w:woUserID w:val="2"/>
        </w:rPr>
        <w:t>第二作者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2"/>
        </w:rPr>
        <w:t>，核心刊物</w:t>
      </w:r>
      <w:r>
        <w:rPr>
          <w:rFonts w:hint="eastAsia" w:ascii="仿宋" w:hAnsi="仿宋" w:eastAsia="仿宋" w:cs="仿宋"/>
          <w:sz w:val="28"/>
          <w:szCs w:val="28"/>
          <w:woUserID w:val="2"/>
        </w:rPr>
        <w:t>以北京大学《中文核心期刊要目总览》或南京大学CSSCI目录为准，需附检索证明）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一项</w:t>
      </w:r>
      <w:r>
        <w:rPr>
          <w:rFonts w:hint="eastAsia" w:ascii="仿宋" w:hAnsi="仿宋" w:eastAsia="仿宋" w:cs="仿宋"/>
          <w:sz w:val="28"/>
          <w:szCs w:val="28"/>
        </w:rPr>
        <w:t>记20分，第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及以后</w:t>
      </w:r>
      <w:r>
        <w:rPr>
          <w:rFonts w:hint="eastAsia" w:ascii="仿宋" w:hAnsi="仿宋" w:eastAsia="仿宋" w:cs="仿宋"/>
          <w:sz w:val="28"/>
          <w:szCs w:val="28"/>
        </w:rPr>
        <w:t>减半。</w:t>
      </w:r>
    </w:p>
    <w:p w14:paraId="4E0CE9CE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一般刊物上发表的论文。</w:t>
      </w:r>
      <w:r>
        <w:rPr>
          <w:rFonts w:hint="eastAsia" w:ascii="仿宋" w:hAnsi="仿宋" w:eastAsia="仿宋" w:cs="仿宋"/>
          <w:sz w:val="28"/>
          <w:szCs w:val="28"/>
        </w:rPr>
        <w:t>以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1"/>
        </w:rPr>
        <w:t>独立</w:t>
      </w:r>
      <w:r>
        <w:rPr>
          <w:rFonts w:hint="eastAsia" w:ascii="仿宋" w:hAnsi="仿宋" w:eastAsia="仿宋" w:cs="仿宋"/>
          <w:sz w:val="28"/>
          <w:szCs w:val="28"/>
        </w:rPr>
        <w:t>作者在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sz w:val="28"/>
          <w:szCs w:val="28"/>
        </w:rPr>
        <w:t>正式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刊号的</w:t>
      </w:r>
      <w:r>
        <w:rPr>
          <w:rFonts w:hint="eastAsia" w:ascii="仿宋" w:hAnsi="仿宋" w:eastAsia="仿宋" w:cs="仿宋"/>
          <w:sz w:val="28"/>
          <w:szCs w:val="28"/>
        </w:rPr>
        <w:t>刊物公开发表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的，一项记10分，合作作者减半。</w:t>
      </w:r>
    </w:p>
    <w:p w14:paraId="7B5816EA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内刊上发表的论文</w:t>
      </w:r>
      <w:r>
        <w:rPr>
          <w:rFonts w:hint="eastAsia" w:ascii="仿宋" w:hAnsi="仿宋" w:eastAsia="仿宋" w:cs="仿宋"/>
          <w:sz w:val="28"/>
          <w:szCs w:val="28"/>
        </w:rPr>
        <w:t>或含有标准书号的书籍中的论文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。以独立作者发表论文的，一项记5分，合作作者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减半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343A2C0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论文比赛获奖。在</w:t>
      </w:r>
      <w:r>
        <w:rPr>
          <w:rFonts w:hint="eastAsia" w:ascii="仿宋" w:hAnsi="仿宋" w:eastAsia="仿宋" w:cs="仿宋"/>
          <w:sz w:val="28"/>
          <w:szCs w:val="28"/>
        </w:rPr>
        <w:t>区级及以上教育行政或职能部门组织的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比赛获奖的，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独立作者</w:t>
      </w:r>
      <w:r>
        <w:rPr>
          <w:rFonts w:hint="eastAsia" w:ascii="仿宋" w:hAnsi="仿宋" w:eastAsia="仿宋" w:cs="仿宋"/>
          <w:sz w:val="28"/>
          <w:szCs w:val="28"/>
        </w:rPr>
        <w:t>一项记5分，合作作者减半。</w:t>
      </w:r>
    </w:p>
    <w:p w14:paraId="3483F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default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著作</w:t>
      </w:r>
      <w:r>
        <w:rPr>
          <w:rFonts w:hint="eastAsia" w:ascii="仿宋" w:hAnsi="仿宋" w:eastAsia="仿宋" w:cs="仿宋"/>
          <w:sz w:val="28"/>
          <w:szCs w:val="28"/>
          <w:lang w:val="en-US" w:eastAsia="zh"/>
          <w:woUserID w:val="3"/>
        </w:rPr>
        <w:t>（含编著）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。独立完成并</w:t>
      </w:r>
      <w:r>
        <w:rPr>
          <w:rFonts w:hint="eastAsia" w:ascii="仿宋" w:hAnsi="仿宋" w:eastAsia="仿宋" w:cs="仿宋"/>
          <w:sz w:val="28"/>
          <w:szCs w:val="28"/>
        </w:rPr>
        <w:t>公开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出版</w:t>
      </w:r>
      <w:r>
        <w:rPr>
          <w:rFonts w:hint="eastAsia" w:ascii="仿宋" w:hAnsi="仿宋" w:eastAsia="仿宋" w:cs="仿宋"/>
          <w:sz w:val="28"/>
          <w:szCs w:val="28"/>
        </w:rPr>
        <w:t>的著作，一项记20分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合作完成并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1"/>
        </w:rPr>
        <w:t>正式出版</w:t>
      </w:r>
      <w:r>
        <w:rPr>
          <w:rFonts w:hint="eastAsia" w:ascii="仿宋" w:hAnsi="仿宋" w:eastAsia="仿宋" w:cs="仿宋"/>
          <w:sz w:val="28"/>
          <w:szCs w:val="28"/>
        </w:rPr>
        <w:t>的著作，第一、第二作者记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及以后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减半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以主编、副主编身份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正式出版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著作</w:t>
      </w:r>
      <w:r>
        <w:rPr>
          <w:rFonts w:hint="eastAsia" w:ascii="仿宋" w:hAnsi="仿宋" w:eastAsia="仿宋" w:cs="仿宋"/>
          <w:sz w:val="28"/>
          <w:szCs w:val="28"/>
        </w:rPr>
        <w:t>，一项记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分。参与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1"/>
        </w:rPr>
        <w:t>正式出版的</w:t>
      </w:r>
      <w:r>
        <w:rPr>
          <w:rFonts w:hint="eastAsia" w:ascii="仿宋" w:hAnsi="仿宋" w:eastAsia="仿宋" w:cs="仿宋"/>
          <w:sz w:val="28"/>
          <w:szCs w:val="28"/>
        </w:rPr>
        <w:t>书籍撰写，独立完成一个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</w:rPr>
        <w:t>章节内容的，一项记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620733D5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"/>
          <w:woUserID w:val="1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（6）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教学成果奖。</w:t>
      </w:r>
      <w:r>
        <w:rPr>
          <w:rFonts w:hint="eastAsia" w:ascii="仿宋" w:hAnsi="仿宋" w:eastAsia="仿宋" w:cs="仿宋"/>
          <w:sz w:val="28"/>
          <w:szCs w:val="28"/>
        </w:rPr>
        <w:t>获得国家级教学成果奖任意奖项或市级教学成果奖特等奖、一等奖，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排名前二一项记20分，其他参与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减半</w:t>
      </w:r>
      <w:r>
        <w:rPr>
          <w:rFonts w:hint="eastAsia" w:ascii="仿宋" w:hAnsi="仿宋" w:eastAsia="仿宋" w:cs="仿宋"/>
          <w:sz w:val="28"/>
          <w:szCs w:val="28"/>
        </w:rPr>
        <w:t>；市级教学成果奖其他等第，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排名前二一项记15分，其他参与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减半。</w:t>
      </w:r>
    </w:p>
    <w:p w14:paraId="378046F2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bookmarkStart w:id="0" w:name="_Hlk1850228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教育科研（每位学员限报</w:t>
      </w:r>
      <w:r>
        <w:rPr>
          <w:rFonts w:hint="eastAsia" w:ascii="仿宋" w:hAnsi="仿宋" w:eastAsia="仿宋" w:cs="仿宋"/>
          <w:sz w:val="28"/>
          <w:szCs w:val="28"/>
          <w:lang w:eastAsia="zh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项）</w:t>
      </w:r>
    </w:p>
    <w:p w14:paraId="1B638E27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“教育科研”指工作坊学员在考核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期内课题立项的情况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具体如下。</w:t>
      </w:r>
    </w:p>
    <w:bookmarkEnd w:id="0"/>
    <w:p w14:paraId="6328D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</w:pP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(1)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主持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"/>
        </w:rPr>
        <w:t>全国教育科学规划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"/>
        </w:rPr>
        <w:t>、上海市教育科学规划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"/>
        </w:rPr>
        <w:t>、浦东教育科学规划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，仅认定通过立项的情况，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国家级课题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0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市级课题一项记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分，区级课题一项记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参与以上课题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研究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的，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仅认定通过立项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且排名前二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的情况，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按相应层级减半记分。</w:t>
      </w:r>
    </w:p>
    <w:p w14:paraId="3A666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  <w:lang w:eastAsia="zh"/>
          <w:woUserID w:val="3"/>
        </w:rPr>
      </w:pP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(2)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主持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以上三类课题之外的国家、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市、区级教育行政或职能部门设立的教育研究课题，仅认定通过立项的情况，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国家级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10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市级一项记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分，区级一项记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3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参与以上课题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研究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的，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仅认定通过立项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且排名前二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的情况，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按相应层级减半记分。</w:t>
      </w:r>
    </w:p>
    <w:p w14:paraId="2AF63A4E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晋升职称或专业荣誉</w:t>
      </w:r>
    </w:p>
    <w:p w14:paraId="649DB122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工作坊学员在考核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期内晋升为高级职称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，每位记1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分。晋升为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正高级职称或获评特级教师的，</w:t>
      </w:r>
      <w:r>
        <w:rPr>
          <w:rFonts w:hint="eastAsia" w:ascii="仿宋" w:hAnsi="仿宋" w:eastAsia="仿宋" w:cs="仿宋"/>
          <w:sz w:val="28"/>
          <w:szCs w:val="28"/>
        </w:rPr>
        <w:t>每位记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30分。</w:t>
      </w:r>
    </w:p>
    <w:p w14:paraId="4EC9D65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cs="黑体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考核结果及运用</w:t>
      </w:r>
    </w:p>
    <w:p w14:paraId="11575CF8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考核结果分为：优秀、良好、合格、不合格四个等第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"/>
          <w:woUserID w:val="1"/>
        </w:rPr>
        <w:t>具体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如下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5F513DC7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b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修养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研修设计与实施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中有一项不满足要求的，考核结果为“不合格”，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由区教育局撤销其“学科工作坊主持人”称号，同时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取消该学科工作坊。</w:t>
      </w:r>
    </w:p>
    <w:p w14:paraId="34E5F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"/>
        </w:rPr>
      </w:pPr>
      <w:r>
        <w:rPr>
          <w:rFonts w:hint="eastAsia" w:ascii="仿宋" w:hAnsi="仿宋" w:eastAsia="仿宋" w:cs="仿宋"/>
          <w:sz w:val="28"/>
          <w:szCs w:val="28"/>
          <w:lang w:val="en-US" w:eastAsia="zh"/>
        </w:rPr>
        <w:t>考核成绩以总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由高至低排序并按比例确定“优秀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良好”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“合格”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的人数，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区教育局根据考核结果对学科工作坊主持人进行绩效奖励。</w:t>
      </w:r>
    </w:p>
    <w:p w14:paraId="03779C0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ind w:leftChars="0" w:firstLine="552" w:firstLineChars="200"/>
        <w:textAlignment w:val="auto"/>
        <w:rPr>
          <w:rFonts w:hint="eastAsia" w:ascii="黑体" w:hAnsi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cs="黑体"/>
          <w:sz w:val="28"/>
          <w:szCs w:val="28"/>
          <w:highlight w:val="none"/>
          <w:lang w:val="en-US" w:eastAsia="zh-CN"/>
        </w:rPr>
        <w:t>五、其他</w:t>
      </w:r>
    </w:p>
    <w:p w14:paraId="287D80E7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52" w:firstLineChars="200"/>
        <w:textAlignment w:val="auto"/>
        <w:rPr>
          <w:rFonts w:hint="eastAsia" w:ascii="仿宋" w:hAnsi="仿宋" w:eastAsia="仿宋" w:cs="仿宋"/>
          <w:b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学科工作坊主持人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不重复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"/>
          <w:woUserID w:val="1"/>
        </w:rPr>
        <w:t>参加学科带头人考核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 w14:paraId="2E1D2201"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55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本考核细则经区教育局同意后实施。如有新的上级规定，按新规定执行。</w:t>
      </w:r>
      <mc:AlternateContent>
        <mc:Choice Requires="wpsCustomData">
          <wpsCustomData:docfieldEnd id="1"/>
        </mc:Choice>
      </mc:AlternateContent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98999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555D7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555D7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1664F">
    <w:pPr>
      <w:tabs>
        <w:tab w:val="center" w:pos="4153"/>
        <w:tab w:val="right" w:pos="8306"/>
      </w:tabs>
      <w:jc w:val="left"/>
      <w:rPr>
        <w:rFonts w:hint="default" w:ascii="Times New Roman" w:eastAsia="仿宋_GB2312"/>
        <w:sz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F5BBF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AF5BBF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24294"/>
    <w:rsid w:val="01151CB0"/>
    <w:rsid w:val="01673C87"/>
    <w:rsid w:val="01FD0D9F"/>
    <w:rsid w:val="056F72B2"/>
    <w:rsid w:val="059333A0"/>
    <w:rsid w:val="07EFC87F"/>
    <w:rsid w:val="084F5179"/>
    <w:rsid w:val="0BDE39A0"/>
    <w:rsid w:val="0CAD14F5"/>
    <w:rsid w:val="0CFB10F5"/>
    <w:rsid w:val="0FEE9C76"/>
    <w:rsid w:val="10D27576"/>
    <w:rsid w:val="120C5EF5"/>
    <w:rsid w:val="1252322A"/>
    <w:rsid w:val="12B05320"/>
    <w:rsid w:val="14692DEB"/>
    <w:rsid w:val="17A4496A"/>
    <w:rsid w:val="18D24294"/>
    <w:rsid w:val="1BD56587"/>
    <w:rsid w:val="1BF74D9B"/>
    <w:rsid w:val="1F5EB5EE"/>
    <w:rsid w:val="1F7E8207"/>
    <w:rsid w:val="1FC64C20"/>
    <w:rsid w:val="1FDE786A"/>
    <w:rsid w:val="1FF3C9A7"/>
    <w:rsid w:val="207846C9"/>
    <w:rsid w:val="20915784"/>
    <w:rsid w:val="247A1A9F"/>
    <w:rsid w:val="25527DE9"/>
    <w:rsid w:val="25CD42FA"/>
    <w:rsid w:val="279F2A85"/>
    <w:rsid w:val="27CD4CAA"/>
    <w:rsid w:val="27FDE291"/>
    <w:rsid w:val="285E6FE6"/>
    <w:rsid w:val="2940049A"/>
    <w:rsid w:val="2A7A3CAB"/>
    <w:rsid w:val="2AE15CAC"/>
    <w:rsid w:val="2C056356"/>
    <w:rsid w:val="2C3825ED"/>
    <w:rsid w:val="2CAB270F"/>
    <w:rsid w:val="2DA47E98"/>
    <w:rsid w:val="2DFB033D"/>
    <w:rsid w:val="2DFF6CA3"/>
    <w:rsid w:val="2E782484"/>
    <w:rsid w:val="2F9E1D28"/>
    <w:rsid w:val="2FA31782"/>
    <w:rsid w:val="2FF74145"/>
    <w:rsid w:val="2FF7B3F8"/>
    <w:rsid w:val="3560333B"/>
    <w:rsid w:val="367B9E8E"/>
    <w:rsid w:val="37CDDDC7"/>
    <w:rsid w:val="3B083071"/>
    <w:rsid w:val="3BBD5D7C"/>
    <w:rsid w:val="3DA94408"/>
    <w:rsid w:val="3DF72476"/>
    <w:rsid w:val="3EFF8993"/>
    <w:rsid w:val="3EFFF32C"/>
    <w:rsid w:val="3F3F12BF"/>
    <w:rsid w:val="3F55C514"/>
    <w:rsid w:val="3FFE5771"/>
    <w:rsid w:val="3FFF8717"/>
    <w:rsid w:val="432E1E4F"/>
    <w:rsid w:val="43A15BE5"/>
    <w:rsid w:val="46252A99"/>
    <w:rsid w:val="4B67390E"/>
    <w:rsid w:val="4E992277"/>
    <w:rsid w:val="519F98C4"/>
    <w:rsid w:val="54062229"/>
    <w:rsid w:val="549FCB4F"/>
    <w:rsid w:val="574FD5A0"/>
    <w:rsid w:val="58554389"/>
    <w:rsid w:val="59750444"/>
    <w:rsid w:val="5ABF2BD7"/>
    <w:rsid w:val="5B3EE950"/>
    <w:rsid w:val="5D406487"/>
    <w:rsid w:val="5FAF41C0"/>
    <w:rsid w:val="5FBF8EA0"/>
    <w:rsid w:val="5FF80070"/>
    <w:rsid w:val="5FFD40F1"/>
    <w:rsid w:val="612E1E1F"/>
    <w:rsid w:val="622F6D22"/>
    <w:rsid w:val="62F611BD"/>
    <w:rsid w:val="6339361A"/>
    <w:rsid w:val="65AD5D5E"/>
    <w:rsid w:val="66FF6453"/>
    <w:rsid w:val="67CC57C8"/>
    <w:rsid w:val="67D796C2"/>
    <w:rsid w:val="68A54DD2"/>
    <w:rsid w:val="6A086545"/>
    <w:rsid w:val="6A3E3525"/>
    <w:rsid w:val="6A7F5354"/>
    <w:rsid w:val="6B775FB6"/>
    <w:rsid w:val="6C5F5221"/>
    <w:rsid w:val="6C7E4960"/>
    <w:rsid w:val="6CD41070"/>
    <w:rsid w:val="6DDE9B93"/>
    <w:rsid w:val="6DDF7195"/>
    <w:rsid w:val="6FB50862"/>
    <w:rsid w:val="6FD44A65"/>
    <w:rsid w:val="6FFF3211"/>
    <w:rsid w:val="71F52A85"/>
    <w:rsid w:val="72A27782"/>
    <w:rsid w:val="76802D85"/>
    <w:rsid w:val="76BB70A7"/>
    <w:rsid w:val="77036422"/>
    <w:rsid w:val="77B99103"/>
    <w:rsid w:val="77FF79EE"/>
    <w:rsid w:val="79CD2D00"/>
    <w:rsid w:val="79F7C1D0"/>
    <w:rsid w:val="7A8035F1"/>
    <w:rsid w:val="7AEC5358"/>
    <w:rsid w:val="7B8CA921"/>
    <w:rsid w:val="7BBBA895"/>
    <w:rsid w:val="7BDF66FE"/>
    <w:rsid w:val="7BF6CAA6"/>
    <w:rsid w:val="7BF7237D"/>
    <w:rsid w:val="7C014E34"/>
    <w:rsid w:val="7D4D2499"/>
    <w:rsid w:val="7DFECE70"/>
    <w:rsid w:val="7E2BA040"/>
    <w:rsid w:val="7E374C77"/>
    <w:rsid w:val="7EBC62C2"/>
    <w:rsid w:val="7EC97C02"/>
    <w:rsid w:val="7EDF6F4D"/>
    <w:rsid w:val="7FBC2E64"/>
    <w:rsid w:val="7FED4379"/>
    <w:rsid w:val="7FFB57F9"/>
    <w:rsid w:val="7FFB9F95"/>
    <w:rsid w:val="876CD8C6"/>
    <w:rsid w:val="87BF9A56"/>
    <w:rsid w:val="87FB9C37"/>
    <w:rsid w:val="8D7CEC77"/>
    <w:rsid w:val="975514AC"/>
    <w:rsid w:val="9FB93AB0"/>
    <w:rsid w:val="AECFDE88"/>
    <w:rsid w:val="AF3F61F0"/>
    <w:rsid w:val="AFCFF699"/>
    <w:rsid w:val="B55E3DED"/>
    <w:rsid w:val="B5E1DF09"/>
    <w:rsid w:val="B75E90D8"/>
    <w:rsid w:val="B79CC68B"/>
    <w:rsid w:val="BBBCECA2"/>
    <w:rsid w:val="BBDBF56A"/>
    <w:rsid w:val="BEFE0B88"/>
    <w:rsid w:val="BF3E663D"/>
    <w:rsid w:val="BFBA3F35"/>
    <w:rsid w:val="BFDD2713"/>
    <w:rsid w:val="BFE7E288"/>
    <w:rsid w:val="BFEF954B"/>
    <w:rsid w:val="BFFFE6AC"/>
    <w:rsid w:val="C550AC31"/>
    <w:rsid w:val="CF7FBE16"/>
    <w:rsid w:val="CFFFDCAD"/>
    <w:rsid w:val="D07BE5A7"/>
    <w:rsid w:val="D7FB6332"/>
    <w:rsid w:val="D97FE7A1"/>
    <w:rsid w:val="D9F5EF63"/>
    <w:rsid w:val="DBFFDE7C"/>
    <w:rsid w:val="DBFFF1B3"/>
    <w:rsid w:val="DDE6601E"/>
    <w:rsid w:val="DF7F8020"/>
    <w:rsid w:val="DF943EFE"/>
    <w:rsid w:val="DF9DB4BD"/>
    <w:rsid w:val="DFFE0C86"/>
    <w:rsid w:val="E5B36514"/>
    <w:rsid w:val="E7FEA54F"/>
    <w:rsid w:val="EB72CE3F"/>
    <w:rsid w:val="EEC3F597"/>
    <w:rsid w:val="EEFE871D"/>
    <w:rsid w:val="EF87F686"/>
    <w:rsid w:val="EF9FBA22"/>
    <w:rsid w:val="EFAAC4E8"/>
    <w:rsid w:val="EFBDBD8E"/>
    <w:rsid w:val="EFF6668D"/>
    <w:rsid w:val="F1F7E267"/>
    <w:rsid w:val="F6FA258A"/>
    <w:rsid w:val="F6FD3044"/>
    <w:rsid w:val="F7333427"/>
    <w:rsid w:val="F7F775EB"/>
    <w:rsid w:val="FAEFC47F"/>
    <w:rsid w:val="FB6F9D67"/>
    <w:rsid w:val="FBD9E369"/>
    <w:rsid w:val="FBFFB109"/>
    <w:rsid w:val="FCDA9176"/>
    <w:rsid w:val="FD83E7CD"/>
    <w:rsid w:val="FD93C793"/>
    <w:rsid w:val="FDF6329E"/>
    <w:rsid w:val="FE3B317B"/>
    <w:rsid w:val="FE974D8D"/>
    <w:rsid w:val="FEDB93A0"/>
    <w:rsid w:val="FEEFC16A"/>
    <w:rsid w:val="FEFD9F70"/>
    <w:rsid w:val="FF777FA7"/>
    <w:rsid w:val="FF79B436"/>
    <w:rsid w:val="FF7FB4D5"/>
    <w:rsid w:val="FF9E04A6"/>
    <w:rsid w:val="FFB76503"/>
    <w:rsid w:val="FFB8760B"/>
    <w:rsid w:val="FFBB139A"/>
    <w:rsid w:val="FFBE09A6"/>
    <w:rsid w:val="FFC9D388"/>
    <w:rsid w:val="FFD7A01C"/>
    <w:rsid w:val="FFE6883C"/>
    <w:rsid w:val="FFF6539D"/>
    <w:rsid w:val="FFFE6D88"/>
    <w:rsid w:val="FFFF2317"/>
    <w:rsid w:val="FFFF94A5"/>
    <w:rsid w:val="FFFFF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20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1097</Words>
  <Characters>1142</Characters>
  <Lines>1</Lines>
  <Paragraphs>1</Paragraphs>
  <TotalTime>1</TotalTime>
  <ScaleCrop>false</ScaleCrop>
  <LinksUpToDate>false</LinksUpToDate>
  <CharactersWithSpaces>1142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2025-02-25T03:06:00Z</dcterms:created>
  <dc:creator>jc</dc:creator>
  <cp:lastModifiedBy>lenovo</cp:lastModifiedBy>
  <cp:lastPrinted>2025-04-01T05:25:00Z</cp:lastPrinted>
  <dcterms:modified xsi:type="dcterms:W3CDTF">2025-04-07T08:21:13Z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21ED374F36FD4B6DA3B1B56FC1864631_13</vt:lpwstr>
  </property>
  <property fmtid="{D5CDD505-2E9C-101B-9397-08002B2CF9AE}" pid="4" name="KSOTemplateDocerSaveRecord">
    <vt:lpwstr>eyJoZGlkIjoiYjhlY2JiMzM4OThhOGY5OWRmYTRiZDE2YmE1ZjVlOWEifQ==</vt:lpwstr>
  </property>
</Properties>
</file>