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17A1A" w14:textId="77777777" w:rsidR="00A05972" w:rsidRDefault="00A05972" w:rsidP="00A05972">
      <w:pPr>
        <w:spacing w:line="480" w:lineRule="exact"/>
        <w:jc w:val="left"/>
        <w:rPr>
          <w:rFonts w:ascii="黑体" w:eastAsia="黑体" w:hAnsi="黑体"/>
          <w:b/>
          <w:sz w:val="32"/>
          <w:szCs w:val="32"/>
        </w:rPr>
      </w:pPr>
      <w:r>
        <w:rPr>
          <w:rFonts w:ascii="黑体" w:eastAsia="黑体" w:hAnsi="黑体" w:hint="eastAsia"/>
          <w:b/>
          <w:sz w:val="32"/>
          <w:szCs w:val="32"/>
        </w:rPr>
        <w:t>附件2</w:t>
      </w:r>
    </w:p>
    <w:p w14:paraId="3D062C2F" w14:textId="77777777" w:rsidR="00A05972" w:rsidRDefault="00A05972" w:rsidP="00A05972">
      <w:pPr>
        <w:spacing w:line="480" w:lineRule="exact"/>
        <w:jc w:val="center"/>
        <w:rPr>
          <w:rFonts w:ascii="黑体" w:eastAsia="黑体" w:hAnsi="黑体"/>
          <w:b/>
          <w:sz w:val="32"/>
          <w:szCs w:val="32"/>
        </w:rPr>
      </w:pPr>
      <w:r>
        <w:rPr>
          <w:rFonts w:ascii="黑体" w:eastAsia="黑体" w:hAnsi="黑体" w:hint="eastAsia"/>
          <w:b/>
          <w:sz w:val="32"/>
          <w:szCs w:val="32"/>
        </w:rPr>
        <w:t>浦东新区骨干教师考核实施细则</w:t>
      </w:r>
    </w:p>
    <w:p w14:paraId="30D9E0C4" w14:textId="77777777" w:rsidR="00A05972" w:rsidRDefault="00A05972" w:rsidP="00A05972">
      <w:pPr>
        <w:spacing w:line="480" w:lineRule="exact"/>
        <w:rPr>
          <w:rFonts w:ascii="华文仿宋" w:eastAsia="华文仿宋" w:hAnsi="华文仿宋"/>
          <w:sz w:val="28"/>
          <w:szCs w:val="28"/>
        </w:rPr>
      </w:pPr>
    </w:p>
    <w:p w14:paraId="319082F1" w14:textId="77777777" w:rsidR="00A05972" w:rsidRDefault="00A05972" w:rsidP="00A05972">
      <w:pPr>
        <w:adjustRightInd w:val="0"/>
        <w:snapToGrid w:val="0"/>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为切实促进骨干教师的专业发展，有效发挥他们在浦东新区教育教学改革中的引领作用，促进浦东新区师资队伍整体素质的提高，根据《浦东新区教育系统学科带头人、骨干教师和青年新秀队伍建设的实施意见》（浦教职成〔2019〕2号）精神，遵循“优胜劣汰，滚动发展”的原则，针对骨干教师的履职情况，制定本考核实施细则。</w:t>
      </w:r>
    </w:p>
    <w:p w14:paraId="0FFC12D3" w14:textId="77777777" w:rsidR="00A05972" w:rsidRDefault="00A05972" w:rsidP="00A05972">
      <w:pPr>
        <w:adjustRightInd w:val="0"/>
        <w:snapToGrid w:val="0"/>
        <w:spacing w:beforeLines="50" w:before="156" w:line="480" w:lineRule="exact"/>
        <w:ind w:firstLineChars="196" w:firstLine="549"/>
        <w:outlineLvl w:val="0"/>
        <w:rPr>
          <w:rFonts w:ascii="华文仿宋" w:eastAsia="华文仿宋" w:hAnsi="华文仿宋"/>
          <w:b/>
          <w:sz w:val="28"/>
          <w:szCs w:val="28"/>
        </w:rPr>
      </w:pPr>
      <w:r>
        <w:rPr>
          <w:rFonts w:ascii="华文仿宋" w:eastAsia="华文仿宋" w:hAnsi="华文仿宋" w:hint="eastAsia"/>
          <w:b/>
          <w:sz w:val="28"/>
          <w:szCs w:val="28"/>
        </w:rPr>
        <w:t>一、考核内容与形式</w:t>
      </w:r>
    </w:p>
    <w:p w14:paraId="546ACFC4"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区骨干教师的考核采用材料考核的方式进行。考核内容及指标一致，满分为120分。所有考核材料的有效时间为2022年6月1日至2024年6月30日。</w:t>
      </w:r>
    </w:p>
    <w:p w14:paraId="20B16500" w14:textId="77777777" w:rsidR="00A05972" w:rsidRDefault="00A05972" w:rsidP="00A05972">
      <w:pPr>
        <w:adjustRightInd w:val="0"/>
        <w:snapToGrid w:val="0"/>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考核内容分为五个部分，其对应的分值如下：</w:t>
      </w:r>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08"/>
        <w:gridCol w:w="2588"/>
        <w:gridCol w:w="1675"/>
      </w:tblGrid>
      <w:tr w:rsidR="00A05972" w14:paraId="5376DBFE" w14:textId="77777777" w:rsidTr="00D604BE">
        <w:trPr>
          <w:trHeight w:val="113"/>
          <w:jc w:val="center"/>
        </w:trPr>
        <w:tc>
          <w:tcPr>
            <w:tcW w:w="3308" w:type="dxa"/>
            <w:shd w:val="clear" w:color="auto" w:fill="FFFFFF"/>
            <w:vAlign w:val="center"/>
          </w:tcPr>
          <w:p w14:paraId="507C7FD3" w14:textId="77777777" w:rsidR="00A05972" w:rsidRDefault="00A05972" w:rsidP="00D604BE">
            <w:pPr>
              <w:adjustRightInd w:val="0"/>
              <w:snapToGrid w:val="0"/>
              <w:spacing w:line="480" w:lineRule="exact"/>
              <w:jc w:val="center"/>
              <w:rPr>
                <w:rFonts w:ascii="华文仿宋" w:eastAsia="华文仿宋" w:hAnsi="华文仿宋"/>
                <w:b/>
                <w:sz w:val="28"/>
                <w:szCs w:val="28"/>
              </w:rPr>
            </w:pPr>
            <w:r>
              <w:rPr>
                <w:rFonts w:ascii="华文仿宋" w:eastAsia="华文仿宋" w:hAnsi="华文仿宋" w:hint="eastAsia"/>
                <w:b/>
                <w:sz w:val="28"/>
                <w:szCs w:val="28"/>
              </w:rPr>
              <w:t>考核内容</w:t>
            </w:r>
          </w:p>
        </w:tc>
        <w:tc>
          <w:tcPr>
            <w:tcW w:w="2588" w:type="dxa"/>
            <w:shd w:val="clear" w:color="auto" w:fill="FFFFFF"/>
            <w:vAlign w:val="center"/>
          </w:tcPr>
          <w:p w14:paraId="53409ECA" w14:textId="77777777" w:rsidR="00A05972" w:rsidRDefault="00A05972" w:rsidP="00D604BE">
            <w:pPr>
              <w:adjustRightInd w:val="0"/>
              <w:snapToGrid w:val="0"/>
              <w:spacing w:line="480" w:lineRule="exact"/>
              <w:jc w:val="center"/>
              <w:rPr>
                <w:rFonts w:ascii="华文仿宋" w:eastAsia="华文仿宋" w:hAnsi="华文仿宋"/>
                <w:b/>
                <w:sz w:val="28"/>
                <w:szCs w:val="28"/>
              </w:rPr>
            </w:pPr>
            <w:r>
              <w:rPr>
                <w:rFonts w:ascii="华文仿宋" w:eastAsia="华文仿宋" w:hAnsi="华文仿宋" w:hint="eastAsia"/>
                <w:b/>
                <w:sz w:val="28"/>
                <w:szCs w:val="28"/>
              </w:rPr>
              <w:t>具体指标</w:t>
            </w:r>
          </w:p>
        </w:tc>
        <w:tc>
          <w:tcPr>
            <w:tcW w:w="1675" w:type="dxa"/>
            <w:shd w:val="clear" w:color="auto" w:fill="FFFFFF"/>
            <w:vAlign w:val="center"/>
          </w:tcPr>
          <w:p w14:paraId="71187CC1" w14:textId="77777777" w:rsidR="00A05972" w:rsidRDefault="00A05972" w:rsidP="00D604BE">
            <w:pPr>
              <w:adjustRightInd w:val="0"/>
              <w:snapToGrid w:val="0"/>
              <w:spacing w:line="480" w:lineRule="exact"/>
              <w:jc w:val="center"/>
              <w:rPr>
                <w:rFonts w:ascii="华文仿宋" w:eastAsia="华文仿宋" w:hAnsi="华文仿宋"/>
                <w:b/>
                <w:sz w:val="28"/>
                <w:szCs w:val="28"/>
              </w:rPr>
            </w:pPr>
            <w:r>
              <w:rPr>
                <w:rFonts w:ascii="华文仿宋" w:eastAsia="华文仿宋" w:hAnsi="华文仿宋" w:hint="eastAsia"/>
                <w:b/>
                <w:sz w:val="28"/>
                <w:szCs w:val="28"/>
              </w:rPr>
              <w:t>分值</w:t>
            </w:r>
          </w:p>
        </w:tc>
      </w:tr>
      <w:tr w:rsidR="00A05972" w14:paraId="26CBEE8D" w14:textId="77777777" w:rsidTr="00D604BE">
        <w:trPr>
          <w:trHeight w:val="113"/>
          <w:jc w:val="center"/>
        </w:trPr>
        <w:tc>
          <w:tcPr>
            <w:tcW w:w="3308" w:type="dxa"/>
            <w:shd w:val="clear" w:color="auto" w:fill="FFFFFF"/>
            <w:vAlign w:val="center"/>
          </w:tcPr>
          <w:p w14:paraId="11E27E10"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师德</w:t>
            </w:r>
          </w:p>
        </w:tc>
        <w:tc>
          <w:tcPr>
            <w:tcW w:w="2588" w:type="dxa"/>
            <w:shd w:val="clear" w:color="auto" w:fill="FFFFFF"/>
            <w:vAlign w:val="center"/>
          </w:tcPr>
          <w:p w14:paraId="390AD6AC"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师德表现</w:t>
            </w:r>
          </w:p>
        </w:tc>
        <w:tc>
          <w:tcPr>
            <w:tcW w:w="1675" w:type="dxa"/>
            <w:shd w:val="clear" w:color="auto" w:fill="FFFFFF"/>
            <w:vAlign w:val="center"/>
          </w:tcPr>
          <w:p w14:paraId="6FDA5A6D"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一票否决</w:t>
            </w:r>
          </w:p>
        </w:tc>
      </w:tr>
      <w:tr w:rsidR="00A05972" w14:paraId="490D04DB" w14:textId="77777777" w:rsidTr="00D604BE">
        <w:trPr>
          <w:trHeight w:val="113"/>
          <w:jc w:val="center"/>
        </w:trPr>
        <w:tc>
          <w:tcPr>
            <w:tcW w:w="3308" w:type="dxa"/>
            <w:shd w:val="clear" w:color="auto" w:fill="FFFFFF"/>
            <w:vAlign w:val="center"/>
          </w:tcPr>
          <w:p w14:paraId="788B60E0"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校内履职及引领</w:t>
            </w:r>
          </w:p>
        </w:tc>
        <w:tc>
          <w:tcPr>
            <w:tcW w:w="2588" w:type="dxa"/>
            <w:shd w:val="clear" w:color="auto" w:fill="FFFFFF"/>
            <w:vAlign w:val="center"/>
          </w:tcPr>
          <w:p w14:paraId="1610606C"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校内履职及引领</w:t>
            </w:r>
          </w:p>
        </w:tc>
        <w:tc>
          <w:tcPr>
            <w:tcW w:w="1675" w:type="dxa"/>
            <w:shd w:val="clear" w:color="auto" w:fill="FFFFFF"/>
            <w:vAlign w:val="center"/>
          </w:tcPr>
          <w:p w14:paraId="0D4FCA35"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50分</w:t>
            </w:r>
          </w:p>
        </w:tc>
      </w:tr>
      <w:tr w:rsidR="00A05972" w14:paraId="18D70225" w14:textId="77777777" w:rsidTr="00D604BE">
        <w:trPr>
          <w:trHeight w:val="113"/>
          <w:jc w:val="center"/>
        </w:trPr>
        <w:tc>
          <w:tcPr>
            <w:tcW w:w="3308" w:type="dxa"/>
            <w:vMerge w:val="restart"/>
            <w:shd w:val="clear" w:color="auto" w:fill="FFFFFF"/>
            <w:vAlign w:val="center"/>
          </w:tcPr>
          <w:p w14:paraId="138028D7"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学科团队研修活动表现</w:t>
            </w:r>
          </w:p>
        </w:tc>
        <w:tc>
          <w:tcPr>
            <w:tcW w:w="2588" w:type="dxa"/>
            <w:shd w:val="clear" w:color="auto" w:fill="FFFFFF"/>
            <w:vAlign w:val="center"/>
          </w:tcPr>
          <w:p w14:paraId="36AB8D6F"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考勤</w:t>
            </w:r>
          </w:p>
        </w:tc>
        <w:tc>
          <w:tcPr>
            <w:tcW w:w="1675" w:type="dxa"/>
            <w:shd w:val="clear" w:color="auto" w:fill="FFFFFF"/>
            <w:vAlign w:val="center"/>
          </w:tcPr>
          <w:p w14:paraId="6E5DA02E"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10分</w:t>
            </w:r>
          </w:p>
        </w:tc>
      </w:tr>
      <w:tr w:rsidR="00A05972" w14:paraId="7E72F77C" w14:textId="77777777" w:rsidTr="00D604BE">
        <w:trPr>
          <w:trHeight w:val="113"/>
          <w:jc w:val="center"/>
        </w:trPr>
        <w:tc>
          <w:tcPr>
            <w:tcW w:w="3308" w:type="dxa"/>
            <w:vMerge/>
            <w:shd w:val="clear" w:color="auto" w:fill="FFFFFF"/>
            <w:vAlign w:val="center"/>
          </w:tcPr>
          <w:p w14:paraId="0B79FB9E"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c>
          <w:tcPr>
            <w:tcW w:w="2588" w:type="dxa"/>
            <w:shd w:val="clear" w:color="auto" w:fill="FFFFFF"/>
            <w:vAlign w:val="center"/>
          </w:tcPr>
          <w:p w14:paraId="61B69C63"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专业贡献</w:t>
            </w:r>
          </w:p>
        </w:tc>
        <w:tc>
          <w:tcPr>
            <w:tcW w:w="1675" w:type="dxa"/>
            <w:shd w:val="clear" w:color="auto" w:fill="FFFFFF"/>
            <w:vAlign w:val="center"/>
          </w:tcPr>
          <w:p w14:paraId="359A6073"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20分</w:t>
            </w:r>
          </w:p>
        </w:tc>
      </w:tr>
      <w:tr w:rsidR="00A05972" w14:paraId="03BCD8CF" w14:textId="77777777" w:rsidTr="00D604BE">
        <w:trPr>
          <w:trHeight w:val="113"/>
          <w:jc w:val="center"/>
        </w:trPr>
        <w:tc>
          <w:tcPr>
            <w:tcW w:w="3308" w:type="dxa"/>
            <w:vMerge w:val="restart"/>
            <w:shd w:val="clear" w:color="auto" w:fill="FFFFFF"/>
            <w:vAlign w:val="center"/>
          </w:tcPr>
          <w:p w14:paraId="1B8D5CD7"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区域专业贡献</w:t>
            </w:r>
          </w:p>
        </w:tc>
        <w:tc>
          <w:tcPr>
            <w:tcW w:w="2588" w:type="dxa"/>
            <w:shd w:val="clear" w:color="auto" w:fill="FFFFFF"/>
            <w:vAlign w:val="center"/>
          </w:tcPr>
          <w:p w14:paraId="192F6346"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培训课程</w:t>
            </w:r>
            <w:r>
              <w:rPr>
                <w:rFonts w:ascii="华文仿宋" w:eastAsia="华文仿宋" w:hAnsi="华文仿宋" w:hint="eastAsia"/>
                <w:sz w:val="28"/>
                <w:szCs w:val="28"/>
                <w:vertAlign w:val="superscript"/>
              </w:rPr>
              <w:t xml:space="preserve"> </w:t>
            </w:r>
          </w:p>
        </w:tc>
        <w:tc>
          <w:tcPr>
            <w:tcW w:w="1675" w:type="dxa"/>
            <w:vMerge w:val="restart"/>
            <w:shd w:val="clear" w:color="auto" w:fill="FFFFFF"/>
            <w:vAlign w:val="center"/>
          </w:tcPr>
          <w:p w14:paraId="4A002CA0"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40分</w:t>
            </w:r>
          </w:p>
        </w:tc>
      </w:tr>
      <w:tr w:rsidR="00A05972" w14:paraId="55AC9DD6" w14:textId="77777777" w:rsidTr="00D604BE">
        <w:trPr>
          <w:trHeight w:val="113"/>
          <w:jc w:val="center"/>
        </w:trPr>
        <w:tc>
          <w:tcPr>
            <w:tcW w:w="3308" w:type="dxa"/>
            <w:vMerge/>
            <w:shd w:val="clear" w:color="auto" w:fill="FFFFFF"/>
            <w:vAlign w:val="center"/>
          </w:tcPr>
          <w:p w14:paraId="7ED63923"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c>
          <w:tcPr>
            <w:tcW w:w="2588" w:type="dxa"/>
            <w:shd w:val="clear" w:color="auto" w:fill="FFFFFF"/>
            <w:vAlign w:val="center"/>
          </w:tcPr>
          <w:p w14:paraId="7B5AFFE7"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教学展示</w:t>
            </w:r>
          </w:p>
        </w:tc>
        <w:tc>
          <w:tcPr>
            <w:tcW w:w="1675" w:type="dxa"/>
            <w:vMerge/>
            <w:shd w:val="clear" w:color="auto" w:fill="FFFFFF"/>
            <w:vAlign w:val="center"/>
          </w:tcPr>
          <w:p w14:paraId="6D183B6C"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r>
      <w:tr w:rsidR="00A05972" w14:paraId="5A464D76" w14:textId="77777777" w:rsidTr="00D604BE">
        <w:trPr>
          <w:trHeight w:val="113"/>
          <w:jc w:val="center"/>
        </w:trPr>
        <w:tc>
          <w:tcPr>
            <w:tcW w:w="3308" w:type="dxa"/>
            <w:vMerge/>
            <w:shd w:val="clear" w:color="auto" w:fill="FFFFFF"/>
            <w:vAlign w:val="center"/>
          </w:tcPr>
          <w:p w14:paraId="5A300178"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c>
          <w:tcPr>
            <w:tcW w:w="2588" w:type="dxa"/>
            <w:shd w:val="clear" w:color="auto" w:fill="FFFFFF"/>
            <w:vAlign w:val="center"/>
          </w:tcPr>
          <w:p w14:paraId="7EB5338E"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其他专业贡献</w:t>
            </w:r>
          </w:p>
        </w:tc>
        <w:tc>
          <w:tcPr>
            <w:tcW w:w="1675" w:type="dxa"/>
            <w:vMerge/>
            <w:shd w:val="clear" w:color="auto" w:fill="FFFFFF"/>
            <w:vAlign w:val="center"/>
          </w:tcPr>
          <w:p w14:paraId="0887BC0F"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r>
      <w:tr w:rsidR="00A05972" w14:paraId="29023EC6" w14:textId="77777777" w:rsidTr="00D604BE">
        <w:trPr>
          <w:trHeight w:val="113"/>
          <w:jc w:val="center"/>
        </w:trPr>
        <w:tc>
          <w:tcPr>
            <w:tcW w:w="3308" w:type="dxa"/>
            <w:vMerge w:val="restart"/>
            <w:shd w:val="clear" w:color="auto" w:fill="FFFFFF"/>
            <w:vAlign w:val="center"/>
          </w:tcPr>
          <w:p w14:paraId="561682AE"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个人学术成果</w:t>
            </w:r>
          </w:p>
        </w:tc>
        <w:tc>
          <w:tcPr>
            <w:tcW w:w="2588" w:type="dxa"/>
            <w:shd w:val="clear" w:color="auto" w:fill="FFFFFF"/>
            <w:vAlign w:val="center"/>
          </w:tcPr>
          <w:p w14:paraId="38A02CBF"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课题成果</w:t>
            </w:r>
          </w:p>
        </w:tc>
        <w:tc>
          <w:tcPr>
            <w:tcW w:w="1675" w:type="dxa"/>
            <w:vMerge/>
            <w:shd w:val="clear" w:color="auto" w:fill="FFFFFF"/>
            <w:vAlign w:val="center"/>
          </w:tcPr>
          <w:p w14:paraId="73E16590"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r>
      <w:tr w:rsidR="00A05972" w14:paraId="0667C476" w14:textId="77777777" w:rsidTr="00D604BE">
        <w:trPr>
          <w:trHeight w:val="113"/>
          <w:jc w:val="center"/>
        </w:trPr>
        <w:tc>
          <w:tcPr>
            <w:tcW w:w="3308" w:type="dxa"/>
            <w:vMerge/>
            <w:shd w:val="clear" w:color="auto" w:fill="FFFFFF"/>
            <w:vAlign w:val="center"/>
          </w:tcPr>
          <w:p w14:paraId="562EF657"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c>
          <w:tcPr>
            <w:tcW w:w="2588" w:type="dxa"/>
            <w:shd w:val="clear" w:color="auto" w:fill="FFFFFF"/>
            <w:vAlign w:val="center"/>
          </w:tcPr>
          <w:p w14:paraId="62AD3B39"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论文成果</w:t>
            </w:r>
          </w:p>
        </w:tc>
        <w:tc>
          <w:tcPr>
            <w:tcW w:w="1675" w:type="dxa"/>
            <w:vMerge/>
            <w:shd w:val="clear" w:color="auto" w:fill="FFFFFF"/>
            <w:vAlign w:val="center"/>
          </w:tcPr>
          <w:p w14:paraId="2AC5EED2"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r>
      <w:tr w:rsidR="00A05972" w14:paraId="046ABF90" w14:textId="77777777" w:rsidTr="00D604BE">
        <w:trPr>
          <w:trHeight w:val="113"/>
          <w:jc w:val="center"/>
        </w:trPr>
        <w:tc>
          <w:tcPr>
            <w:tcW w:w="3308" w:type="dxa"/>
            <w:vMerge/>
            <w:shd w:val="clear" w:color="auto" w:fill="FFFFFF"/>
            <w:vAlign w:val="center"/>
          </w:tcPr>
          <w:p w14:paraId="55E891FF"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c>
          <w:tcPr>
            <w:tcW w:w="2588" w:type="dxa"/>
            <w:shd w:val="clear" w:color="auto" w:fill="FFFFFF"/>
            <w:vAlign w:val="center"/>
          </w:tcPr>
          <w:p w14:paraId="5635C724" w14:textId="77777777" w:rsidR="00A05972" w:rsidRDefault="00A05972" w:rsidP="00D604BE">
            <w:pPr>
              <w:adjustRightInd w:val="0"/>
              <w:snapToGrid w:val="0"/>
              <w:spacing w:line="480" w:lineRule="exact"/>
              <w:jc w:val="center"/>
              <w:rPr>
                <w:rFonts w:ascii="华文仿宋" w:eastAsia="华文仿宋" w:hAnsi="华文仿宋"/>
                <w:sz w:val="28"/>
                <w:szCs w:val="28"/>
              </w:rPr>
            </w:pPr>
            <w:r>
              <w:rPr>
                <w:rFonts w:ascii="华文仿宋" w:eastAsia="华文仿宋" w:hAnsi="华文仿宋" w:hint="eastAsia"/>
                <w:sz w:val="28"/>
                <w:szCs w:val="28"/>
              </w:rPr>
              <w:t>著作成果</w:t>
            </w:r>
          </w:p>
        </w:tc>
        <w:tc>
          <w:tcPr>
            <w:tcW w:w="1675" w:type="dxa"/>
            <w:vMerge/>
            <w:shd w:val="clear" w:color="auto" w:fill="FFFFFF"/>
            <w:vAlign w:val="center"/>
          </w:tcPr>
          <w:p w14:paraId="6825924F" w14:textId="77777777" w:rsidR="00A05972" w:rsidRDefault="00A05972" w:rsidP="00D604BE">
            <w:pPr>
              <w:adjustRightInd w:val="0"/>
              <w:snapToGrid w:val="0"/>
              <w:spacing w:line="480" w:lineRule="exact"/>
              <w:jc w:val="center"/>
              <w:rPr>
                <w:rFonts w:ascii="华文仿宋" w:eastAsia="华文仿宋" w:hAnsi="华文仿宋"/>
                <w:sz w:val="28"/>
                <w:szCs w:val="28"/>
              </w:rPr>
            </w:pPr>
          </w:p>
        </w:tc>
      </w:tr>
    </w:tbl>
    <w:p w14:paraId="0E43A925" w14:textId="77777777" w:rsidR="00A05972" w:rsidRDefault="00A05972" w:rsidP="00A05972">
      <w:pPr>
        <w:spacing w:line="480" w:lineRule="exact"/>
        <w:ind w:firstLineChars="200" w:firstLine="561"/>
        <w:outlineLvl w:val="0"/>
        <w:rPr>
          <w:rFonts w:ascii="华文仿宋" w:eastAsia="华文仿宋" w:hAnsi="华文仿宋"/>
          <w:b/>
          <w:sz w:val="28"/>
          <w:szCs w:val="28"/>
        </w:rPr>
      </w:pPr>
      <w:r>
        <w:rPr>
          <w:rFonts w:ascii="华文仿宋" w:eastAsia="华文仿宋" w:hAnsi="华文仿宋" w:hint="eastAsia"/>
          <w:b/>
          <w:sz w:val="28"/>
          <w:szCs w:val="28"/>
        </w:rPr>
        <w:t>二、具体指标解读和计分</w:t>
      </w:r>
    </w:p>
    <w:p w14:paraId="54BC9BE6"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（一）师德情况</w:t>
      </w:r>
    </w:p>
    <w:p w14:paraId="62B5ADE1"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实行师德一票否决制。师德考核由教师聘任学校实施。师德不合格者，任期考核为不合格。</w:t>
      </w:r>
    </w:p>
    <w:p w14:paraId="6EDC7D15"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（二）校内履职及引领情况</w:t>
      </w:r>
    </w:p>
    <w:p w14:paraId="1BB7817F"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“校内履职及引领”情况由骨干教师任职学校实施。参加区内柔性流动的教师，由原学校和支教学校共同认定。骨干教师所在学校根据</w:t>
      </w:r>
      <w:proofErr w:type="gramStart"/>
      <w:r>
        <w:rPr>
          <w:rFonts w:ascii="华文仿宋" w:eastAsia="华文仿宋" w:hAnsi="华文仿宋" w:hint="eastAsia"/>
          <w:sz w:val="28"/>
          <w:szCs w:val="28"/>
        </w:rPr>
        <w:t>以下维</w:t>
      </w:r>
      <w:proofErr w:type="gramEnd"/>
      <w:r>
        <w:rPr>
          <w:rFonts w:ascii="华文仿宋" w:eastAsia="华文仿宋" w:hAnsi="华文仿宋" w:hint="eastAsia"/>
          <w:sz w:val="28"/>
          <w:szCs w:val="28"/>
        </w:rPr>
        <w:t>度，自行研制打分标准：</w:t>
      </w:r>
    </w:p>
    <w:p w14:paraId="69EFAA25"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1.履职情况，根据该教师实际工作量、每周课时数、教育教学业绩、学生满意度、承担学校其他工作等进行综合评价。</w:t>
      </w:r>
    </w:p>
    <w:p w14:paraId="2A5F3272"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2.育德能力，根据该教师是否担任班主任等工作进行评价。</w:t>
      </w:r>
    </w:p>
    <w:p w14:paraId="211F1390"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3.承担学校校本研修工作的情况，根据该教师是否承担主持学校教研工作、主持或参与校本课程、校本研修课程的开发和实施等情况进行评价。</w:t>
      </w:r>
    </w:p>
    <w:p w14:paraId="403E2E1D"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4.在本校、集团内或学区内发挥示范引领情况，根据该教师在校内、在集团内或学区内开设公开课、开设培训讲座、带教教师（带教本校教师、见习基地带教或集团</w:t>
      </w:r>
      <w:proofErr w:type="gramStart"/>
      <w:r>
        <w:rPr>
          <w:rFonts w:ascii="华文仿宋" w:eastAsia="华文仿宋" w:hAnsi="华文仿宋" w:hint="eastAsia"/>
          <w:sz w:val="28"/>
          <w:szCs w:val="28"/>
        </w:rPr>
        <w:t>校际带</w:t>
      </w:r>
      <w:proofErr w:type="gramEnd"/>
      <w:r>
        <w:rPr>
          <w:rFonts w:ascii="华文仿宋" w:eastAsia="华文仿宋" w:hAnsi="华文仿宋" w:hint="eastAsia"/>
          <w:sz w:val="28"/>
          <w:szCs w:val="28"/>
        </w:rPr>
        <w:t>教）等情况进行评价。</w:t>
      </w:r>
    </w:p>
    <w:p w14:paraId="2C7BEE38"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以上两项指标由学校评分，由教师个人提供《校内履职及引领考核表》，学科团队领衔人检查登记。</w:t>
      </w:r>
    </w:p>
    <w:p w14:paraId="296EB276"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（三）学科团队研修活动表现</w:t>
      </w:r>
    </w:p>
    <w:p w14:paraId="16C123B9"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 考勤</w:t>
      </w:r>
    </w:p>
    <w:p w14:paraId="0A84354B"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“考勤”指标的考核依据骨干教师在有效考核期内，在其所属学科团队活动的实际出勤情况进行评价。</w:t>
      </w:r>
    </w:p>
    <w:p w14:paraId="0CFD43DC"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 专业贡献</w:t>
      </w:r>
    </w:p>
    <w:p w14:paraId="6B20F894"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专业贡献”指标考核骨干教师在其所属学科团队专业活动中做出的专业贡献。由学科团队全体成员在领衔人的带领下，根据团队实践性课程的实施要求和评价方案，共同设计本学科团队的专业贡献评价标准。专业贡献的形式可以包括但不仅限于教学展示、点评其他教师的教学展示课、专业报告、专业讲座、主持读书分享活动等各种形式。</w:t>
      </w:r>
    </w:p>
    <w:p w14:paraId="6AED45AA"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本指标由学科团队领衔人依据上述标准，对本学科团队骨干教师参与实践性课程中的专业表现和专业贡献进行评分。</w:t>
      </w:r>
    </w:p>
    <w:p w14:paraId="2B968D5C"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lastRenderedPageBreak/>
        <w:t>参加浦东新区以个人姓名命名的教师培训基地的学员，本指标由基地主持人进行评分，参加教育局组织的挂职锻炼的，本指标由教育局相关处室进行评分，由教师个人提供《团队研修活动表现评价表》，学科团队领衔人检查登记。</w:t>
      </w:r>
    </w:p>
    <w:p w14:paraId="49B9CCFA"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（四）区域专业贡献</w:t>
      </w:r>
    </w:p>
    <w:p w14:paraId="77F96264"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 培训课程</w:t>
      </w:r>
    </w:p>
    <w:p w14:paraId="354092C9"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培训课程”指标考核骨干教师在有效考核期内，开发、开设区教师继续教育选修课程的情况，以及承担区级教师培训项目中培训课程的情况。“培训课程”指标的打分，按每个人在课程开设中的实际课时承担数进行认定。具体标准如下：</w:t>
      </w:r>
    </w:p>
    <w:p w14:paraId="094BF79F"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（1）骨干教师实施教师继续教育选修课程，每10课时记10分。</w:t>
      </w:r>
    </w:p>
    <w:p w14:paraId="426756FE"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（2）骨干教师在区级教师专项培训中承担开发课程、审定课程、实施课程或课程学习评价工作的，按照其在各项</w:t>
      </w:r>
      <w:proofErr w:type="gramStart"/>
      <w:r>
        <w:rPr>
          <w:rFonts w:ascii="华文仿宋" w:eastAsia="华文仿宋" w:hAnsi="华文仿宋" w:hint="eastAsia"/>
          <w:sz w:val="28"/>
          <w:szCs w:val="28"/>
        </w:rPr>
        <w:t>目培训</w:t>
      </w:r>
      <w:proofErr w:type="gramEnd"/>
      <w:r>
        <w:rPr>
          <w:rFonts w:ascii="华文仿宋" w:eastAsia="华文仿宋" w:hAnsi="华文仿宋" w:hint="eastAsia"/>
          <w:sz w:val="28"/>
          <w:szCs w:val="28"/>
        </w:rPr>
        <w:t>中的实际贡献情况认定课时数，每10课时记10分。</w:t>
      </w:r>
    </w:p>
    <w:p w14:paraId="11812C03"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 教学展示</w:t>
      </w:r>
    </w:p>
    <w:p w14:paraId="23822B7C" w14:textId="77777777" w:rsidR="00A05972" w:rsidRDefault="00A05972" w:rsidP="00A05972">
      <w:pPr>
        <w:spacing w:line="480" w:lineRule="exact"/>
        <w:ind w:firstLine="480"/>
        <w:jc w:val="left"/>
        <w:rPr>
          <w:rFonts w:ascii="华文仿宋" w:eastAsia="华文仿宋" w:hAnsi="华文仿宋"/>
          <w:sz w:val="28"/>
          <w:szCs w:val="28"/>
        </w:rPr>
      </w:pPr>
      <w:r>
        <w:rPr>
          <w:rFonts w:ascii="华文仿宋" w:eastAsia="华文仿宋" w:hAnsi="华文仿宋" w:hint="eastAsia"/>
          <w:sz w:val="28"/>
          <w:szCs w:val="28"/>
        </w:rPr>
        <w:t>“教学展示”指标考核骨干教师在有效考核期内，在市、区级教育行政部门组织的活动中进行教学展示或获得竞赛课评比奖项（三等奖以上），按每人每次展示或获奖，记20分。</w:t>
      </w:r>
    </w:p>
    <w:p w14:paraId="53CAF6F5"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 其他专业贡献</w:t>
      </w:r>
    </w:p>
    <w:p w14:paraId="2C70F6B6"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“其他专业贡献”指标考核骨干教师在浦东新区学科教研工作中的其他专业贡献情况。具体标准如下：</w:t>
      </w:r>
    </w:p>
    <w:p w14:paraId="04B57891"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（1）经浦东新区教育局备案，浦东教育发展研究院聘任的区兼职教研员，每聘任一学期，记</w:t>
      </w:r>
      <w:r>
        <w:rPr>
          <w:rFonts w:ascii="华文仿宋" w:eastAsia="华文仿宋" w:hAnsi="华文仿宋"/>
          <w:sz w:val="28"/>
          <w:szCs w:val="28"/>
        </w:rPr>
        <w:t>5</w:t>
      </w:r>
      <w:r>
        <w:rPr>
          <w:rFonts w:ascii="华文仿宋" w:eastAsia="华文仿宋" w:hAnsi="华文仿宋" w:hint="eastAsia"/>
          <w:sz w:val="28"/>
          <w:szCs w:val="28"/>
        </w:rPr>
        <w:t>分；</w:t>
      </w:r>
    </w:p>
    <w:p w14:paraId="40DEFAFD"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（2）经浦东教育发展研究院遴选与聘任的各教育教学中心组成员，每聘任一学期，记2.5分。</w:t>
      </w:r>
    </w:p>
    <w:p w14:paraId="454F8B1C"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（3）参与初三、高三命题工作：</w:t>
      </w:r>
      <w:proofErr w:type="gramStart"/>
      <w:r>
        <w:rPr>
          <w:rFonts w:ascii="华文仿宋" w:eastAsia="华文仿宋" w:hAnsi="华文仿宋" w:hint="eastAsia"/>
          <w:sz w:val="28"/>
          <w:szCs w:val="28"/>
        </w:rPr>
        <w:t>每参与</w:t>
      </w:r>
      <w:proofErr w:type="gramEnd"/>
      <w:r>
        <w:rPr>
          <w:rFonts w:ascii="华文仿宋" w:eastAsia="华文仿宋" w:hAnsi="华文仿宋" w:hint="eastAsia"/>
          <w:sz w:val="28"/>
          <w:szCs w:val="28"/>
        </w:rPr>
        <w:t>1次记10分；</w:t>
      </w:r>
    </w:p>
    <w:p w14:paraId="17988ACA"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（4）主持或参与区域教学质量监测命题等工作的：每次记5分。</w:t>
      </w:r>
    </w:p>
    <w:p w14:paraId="52112426"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本指标由学科团队领衔人依据上述标准，对本学科团队骨干教师的区域专业贡献进行评分。</w:t>
      </w:r>
    </w:p>
    <w:p w14:paraId="76A4AB8E"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（五）个人学术成果</w:t>
      </w:r>
    </w:p>
    <w:p w14:paraId="26565A0D"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个人学术成果的考核包括课题、论文和著作三个板块，各板块的得分可以累加。</w:t>
      </w:r>
    </w:p>
    <w:p w14:paraId="59C97B1D"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1.课题成果</w:t>
      </w:r>
    </w:p>
    <w:p w14:paraId="2184F1EF"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“课题成果”指标考核骨干教师在有效考核期内主持或参与的市、区级教育行政部门新立项的教育研究课题的情况，该部分仅认定学术质量最高的一份课题成果的得分。具体标准如下：</w:t>
      </w:r>
    </w:p>
    <w:p w14:paraId="044234F8"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（1）担任市级以上课题主持人的，记25分。</w:t>
      </w:r>
    </w:p>
    <w:p w14:paraId="7AF6CB15"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（2）担任区级课题主持人的，记15分。</w:t>
      </w:r>
    </w:p>
    <w:p w14:paraId="68D9DF49"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（3）担任区级以上课题参与人，且排名前3的，记12分。</w:t>
      </w:r>
    </w:p>
    <w:p w14:paraId="0957DAB3"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（4）担任区级以上课题参与人，排名在第4及以后的，记7分。</w:t>
      </w:r>
    </w:p>
    <w:p w14:paraId="0A6DBD14"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2.论文成果</w:t>
      </w:r>
    </w:p>
    <w:p w14:paraId="2EFB56A6"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论文成果”指标考核骨干教师在有效考核期内公开发表的学术论文或取得的论文评比获奖的情况，依据论文的发表级别、获奖级别及质量综合评定。论文的内容须与骨干教师本人的学科专业相一致。若同一考核有效期内有多项论文成果的，每份论文成果的考核得分可累计，具体标准如下：</w:t>
      </w:r>
    </w:p>
    <w:p w14:paraId="7B37E27C"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1</w:t>
      </w:r>
      <w:r>
        <w:rPr>
          <w:rFonts w:ascii="华文仿宋" w:eastAsia="华文仿宋" w:hAnsi="华文仿宋" w:hint="eastAsia"/>
          <w:sz w:val="28"/>
          <w:szCs w:val="28"/>
        </w:rPr>
        <w:t>）核心刊物上发表的论文（可认定第一作者和第二作者身份发表的），记2</w:t>
      </w:r>
      <w:r>
        <w:rPr>
          <w:rFonts w:ascii="华文仿宋" w:eastAsia="华文仿宋" w:hAnsi="华文仿宋"/>
          <w:sz w:val="28"/>
          <w:szCs w:val="28"/>
        </w:rPr>
        <w:t>5</w:t>
      </w:r>
      <w:r>
        <w:rPr>
          <w:rFonts w:ascii="华文仿宋" w:eastAsia="华文仿宋" w:hAnsi="华文仿宋" w:hint="eastAsia"/>
          <w:sz w:val="28"/>
          <w:szCs w:val="28"/>
        </w:rPr>
        <w:t>分。</w:t>
      </w:r>
    </w:p>
    <w:p w14:paraId="29F8BA7D"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2</w:t>
      </w:r>
      <w:r>
        <w:rPr>
          <w:rFonts w:ascii="华文仿宋" w:eastAsia="华文仿宋" w:hAnsi="华文仿宋" w:hint="eastAsia"/>
          <w:sz w:val="28"/>
          <w:szCs w:val="28"/>
        </w:rPr>
        <w:t>）区级及以上刊物（仅认定以第一作者身份在正式刊物公开发表的或含有标准书号的书籍中的论文），依据论文质量，记11～20分。</w:t>
      </w:r>
    </w:p>
    <w:p w14:paraId="46172899"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3</w:t>
      </w:r>
      <w:r>
        <w:rPr>
          <w:rFonts w:ascii="华文仿宋" w:eastAsia="华文仿宋" w:hAnsi="华文仿宋" w:hint="eastAsia"/>
          <w:sz w:val="28"/>
          <w:szCs w:val="28"/>
        </w:rPr>
        <w:t>）其他在认定范围内的论文，依据论文质量，记1～10分。</w:t>
      </w:r>
    </w:p>
    <w:p w14:paraId="017D5199"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3.著作成果</w:t>
      </w:r>
    </w:p>
    <w:p w14:paraId="3FB01028"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“著作成果”指标考核骨干教师在有效考核期内以第一、第二作者或主编、副主编、编委身份等公开发表的著作。若同一考核有效期内有多项著作成果的，每份著作成果的考核得分可累计，具体标准如下：</w:t>
      </w:r>
    </w:p>
    <w:p w14:paraId="6068A380"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（1）以第一、第二作者身份公开发表的著作，记20～25分。</w:t>
      </w:r>
    </w:p>
    <w:p w14:paraId="29554A0E"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lastRenderedPageBreak/>
        <w:t>（2）参与教材、教参编写的，记20分。</w:t>
      </w:r>
    </w:p>
    <w:p w14:paraId="4806CBC9"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（3）以书籍主编、副主编身份公开发表的著作，记</w:t>
      </w:r>
      <w:r>
        <w:rPr>
          <w:rFonts w:ascii="华文仿宋" w:eastAsia="华文仿宋" w:hAnsi="华文仿宋"/>
          <w:sz w:val="28"/>
          <w:szCs w:val="28"/>
        </w:rPr>
        <w:t>10</w:t>
      </w:r>
      <w:r>
        <w:rPr>
          <w:rFonts w:ascii="华文仿宋" w:eastAsia="华文仿宋" w:hAnsi="华文仿宋" w:hint="eastAsia"/>
          <w:sz w:val="28"/>
          <w:szCs w:val="28"/>
        </w:rPr>
        <w:t>～20分。</w:t>
      </w:r>
    </w:p>
    <w:p w14:paraId="47C4A98C"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（4）参与书籍撰写，独立完成一章内容的，记1</w:t>
      </w:r>
      <w:r>
        <w:rPr>
          <w:rFonts w:ascii="华文仿宋" w:eastAsia="华文仿宋" w:hAnsi="华文仿宋"/>
          <w:sz w:val="28"/>
          <w:szCs w:val="28"/>
        </w:rPr>
        <w:t>0</w:t>
      </w:r>
      <w:r>
        <w:rPr>
          <w:rFonts w:ascii="华文仿宋" w:eastAsia="华文仿宋" w:hAnsi="华文仿宋" w:hint="eastAsia"/>
          <w:sz w:val="28"/>
          <w:szCs w:val="28"/>
        </w:rPr>
        <w:t>分。</w:t>
      </w:r>
    </w:p>
    <w:p w14:paraId="5EA93D4B" w14:textId="77777777" w:rsidR="00A05972" w:rsidRDefault="00A05972" w:rsidP="00A05972">
      <w:pPr>
        <w:spacing w:line="480" w:lineRule="exact"/>
        <w:ind w:firstLine="560"/>
        <w:rPr>
          <w:rFonts w:ascii="华文仿宋" w:eastAsia="华文仿宋" w:hAnsi="华文仿宋"/>
          <w:sz w:val="28"/>
          <w:szCs w:val="28"/>
        </w:rPr>
      </w:pPr>
      <w:r>
        <w:rPr>
          <w:rFonts w:ascii="华文仿宋" w:eastAsia="华文仿宋" w:hAnsi="华文仿宋" w:hint="eastAsia"/>
          <w:sz w:val="28"/>
          <w:szCs w:val="28"/>
        </w:rPr>
        <w:t>（5）以书籍编委身份公开发表的著作，记5分。</w:t>
      </w:r>
    </w:p>
    <w:p w14:paraId="1DA1537E" w14:textId="77777777" w:rsidR="00A05972" w:rsidRDefault="00A05972" w:rsidP="00A05972">
      <w:pPr>
        <w:spacing w:line="48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本指标由学科团队领衔人依据上述标准，对本学科团队骨干教师的区域专业贡献进行评分。</w:t>
      </w:r>
    </w:p>
    <w:p w14:paraId="510CDC2B" w14:textId="77777777" w:rsidR="00A05972" w:rsidRDefault="00A05972" w:rsidP="00A05972">
      <w:pPr>
        <w:spacing w:line="480" w:lineRule="exact"/>
        <w:ind w:firstLineChars="200" w:firstLine="561"/>
        <w:rPr>
          <w:rFonts w:ascii="华文仿宋" w:eastAsia="华文仿宋" w:hAnsi="华文仿宋"/>
          <w:sz w:val="28"/>
          <w:szCs w:val="28"/>
        </w:rPr>
      </w:pPr>
      <w:r>
        <w:rPr>
          <w:rFonts w:ascii="华文仿宋" w:eastAsia="华文仿宋" w:hAnsi="华文仿宋" w:hint="eastAsia"/>
          <w:b/>
          <w:sz w:val="28"/>
          <w:szCs w:val="28"/>
        </w:rPr>
        <w:t>三、考核流程</w:t>
      </w:r>
    </w:p>
    <w:p w14:paraId="75673DD3" w14:textId="77777777" w:rsidR="00A05972" w:rsidRDefault="00A05972" w:rsidP="00A05972">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根据《浦东新区教育系统学科带头人、骨干教师和青年新秀队伍建设的实施意见》（浦教职成〔2019〕2号）精神，在浦东新区教育局领导下开展工作。浦东教育发展研究院具体实施考核工作。具体考核工作步骤为：</w:t>
      </w:r>
    </w:p>
    <w:p w14:paraId="14BBD08D" w14:textId="77777777" w:rsidR="00A05972" w:rsidRDefault="00A05972" w:rsidP="00A05972">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（1）教</w:t>
      </w:r>
      <w:proofErr w:type="gramStart"/>
      <w:r>
        <w:rPr>
          <w:rFonts w:ascii="华文仿宋" w:eastAsia="华文仿宋" w:hAnsi="华文仿宋" w:hint="eastAsia"/>
          <w:sz w:val="28"/>
          <w:szCs w:val="28"/>
        </w:rPr>
        <w:t>发院公布</w:t>
      </w:r>
      <w:proofErr w:type="gramEnd"/>
      <w:r>
        <w:rPr>
          <w:rFonts w:ascii="华文仿宋" w:eastAsia="华文仿宋" w:hAnsi="华文仿宋" w:hint="eastAsia"/>
          <w:sz w:val="28"/>
          <w:szCs w:val="28"/>
        </w:rPr>
        <w:t>考核细则，布置考核工作；</w:t>
      </w:r>
    </w:p>
    <w:p w14:paraId="043C5F4F" w14:textId="77777777" w:rsidR="00A05972" w:rsidRDefault="00A05972" w:rsidP="00A05972">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（2）各学校召集校内考核小组，完成师德鉴定和校内履职考核；</w:t>
      </w:r>
    </w:p>
    <w:p w14:paraId="1B210203" w14:textId="77777777" w:rsidR="00A05972" w:rsidRDefault="00A05972" w:rsidP="00A05972">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（3）学科团队领衔人收集本团队骨干教师考核材料，检查整理并对考核材料打分后提交教发院；</w:t>
      </w:r>
    </w:p>
    <w:p w14:paraId="5C56FC4A" w14:textId="77777777" w:rsidR="00A05972" w:rsidRDefault="00A05972" w:rsidP="00A05972">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（4）教</w:t>
      </w:r>
      <w:proofErr w:type="gramStart"/>
      <w:r>
        <w:rPr>
          <w:rFonts w:ascii="华文仿宋" w:eastAsia="华文仿宋" w:hAnsi="华文仿宋" w:hint="eastAsia"/>
          <w:sz w:val="28"/>
          <w:szCs w:val="28"/>
        </w:rPr>
        <w:t>发院公布</w:t>
      </w:r>
      <w:proofErr w:type="gramEnd"/>
      <w:r>
        <w:rPr>
          <w:rFonts w:ascii="华文仿宋" w:eastAsia="华文仿宋" w:hAnsi="华文仿宋" w:hint="eastAsia"/>
          <w:sz w:val="28"/>
          <w:szCs w:val="28"/>
        </w:rPr>
        <w:t>骨干教师考核结果，接受成绩复议；</w:t>
      </w:r>
    </w:p>
    <w:p w14:paraId="10197C80" w14:textId="77777777" w:rsidR="00A05972" w:rsidRDefault="00A05972" w:rsidP="00A05972">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（5）</w:t>
      </w:r>
      <w:proofErr w:type="gramStart"/>
      <w:r>
        <w:rPr>
          <w:rFonts w:ascii="华文仿宋" w:eastAsia="华文仿宋" w:hAnsi="华文仿宋" w:hint="eastAsia"/>
          <w:sz w:val="28"/>
          <w:szCs w:val="28"/>
        </w:rPr>
        <w:t>教发院对</w:t>
      </w:r>
      <w:proofErr w:type="gramEnd"/>
      <w:r>
        <w:rPr>
          <w:rFonts w:ascii="华文仿宋" w:eastAsia="华文仿宋" w:hAnsi="华文仿宋" w:hint="eastAsia"/>
          <w:sz w:val="28"/>
          <w:szCs w:val="28"/>
        </w:rPr>
        <w:t>申请成绩复议的对象再次进行考核；</w:t>
      </w:r>
    </w:p>
    <w:p w14:paraId="3CC9F744" w14:textId="77777777" w:rsidR="00A05972" w:rsidRDefault="00A05972" w:rsidP="00A05972">
      <w:pPr>
        <w:spacing w:line="480" w:lineRule="exact"/>
        <w:ind w:firstLineChars="196" w:firstLine="549"/>
        <w:rPr>
          <w:rFonts w:ascii="华文仿宋" w:eastAsia="华文仿宋" w:hAnsi="华文仿宋"/>
          <w:sz w:val="28"/>
          <w:szCs w:val="28"/>
        </w:rPr>
      </w:pPr>
      <w:r>
        <w:rPr>
          <w:rFonts w:ascii="华文仿宋" w:eastAsia="华文仿宋" w:hAnsi="华文仿宋" w:hint="eastAsia"/>
          <w:sz w:val="28"/>
          <w:szCs w:val="28"/>
        </w:rPr>
        <w:t>（6）</w:t>
      </w:r>
      <w:proofErr w:type="gramStart"/>
      <w:r>
        <w:rPr>
          <w:rFonts w:ascii="华文仿宋" w:eastAsia="华文仿宋" w:hAnsi="华文仿宋" w:hint="eastAsia"/>
          <w:sz w:val="28"/>
          <w:szCs w:val="28"/>
        </w:rPr>
        <w:t>教发院确定</w:t>
      </w:r>
      <w:proofErr w:type="gramEnd"/>
      <w:r>
        <w:rPr>
          <w:rFonts w:ascii="华文仿宋" w:eastAsia="华文仿宋" w:hAnsi="华文仿宋" w:hint="eastAsia"/>
          <w:sz w:val="28"/>
          <w:szCs w:val="28"/>
        </w:rPr>
        <w:t>最终成绩，上报教育局审定。</w:t>
      </w:r>
    </w:p>
    <w:p w14:paraId="2B1FD175" w14:textId="77777777" w:rsidR="00A05972" w:rsidRDefault="00A05972" w:rsidP="00A05972">
      <w:pPr>
        <w:spacing w:line="480" w:lineRule="exact"/>
        <w:ind w:firstLineChars="196" w:firstLine="549"/>
        <w:rPr>
          <w:rFonts w:ascii="华文仿宋" w:eastAsia="华文仿宋" w:hAnsi="华文仿宋"/>
          <w:sz w:val="28"/>
          <w:szCs w:val="28"/>
        </w:rPr>
      </w:pPr>
      <w:r>
        <w:rPr>
          <w:rFonts w:ascii="华文仿宋" w:eastAsia="华文仿宋" w:hAnsi="华文仿宋" w:hint="eastAsia"/>
          <w:b/>
          <w:sz w:val="28"/>
          <w:szCs w:val="28"/>
        </w:rPr>
        <w:t>四、其他规定</w:t>
      </w:r>
    </w:p>
    <w:p w14:paraId="7EB3429A" w14:textId="641E92B3"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w:t>
      </w:r>
      <w:r>
        <w:rPr>
          <w:rFonts w:ascii="华文仿宋" w:eastAsia="华文仿宋" w:hAnsi="华文仿宋" w:hint="eastAsia"/>
          <w:sz w:val="28"/>
          <w:szCs w:val="28"/>
        </w:rPr>
        <w:t xml:space="preserve"> 受疫情等不可抗拒因素的影响，本轮（2</w:t>
      </w:r>
      <w:r>
        <w:rPr>
          <w:rFonts w:ascii="华文仿宋" w:eastAsia="华文仿宋" w:hAnsi="华文仿宋"/>
          <w:sz w:val="28"/>
          <w:szCs w:val="28"/>
        </w:rPr>
        <w:t>021-2023</w:t>
      </w:r>
      <w:r>
        <w:rPr>
          <w:rFonts w:ascii="华文仿宋" w:eastAsia="华文仿宋" w:hAnsi="华文仿宋" w:hint="eastAsia"/>
          <w:sz w:val="28"/>
          <w:szCs w:val="28"/>
        </w:rPr>
        <w:t>学年任期）进行一次期末考核。期末考核分值为本轮任期考核成绩。任期考核成绩</w:t>
      </w:r>
      <w:r w:rsidR="006851A7">
        <w:rPr>
          <w:rFonts w:ascii="华文仿宋" w:eastAsia="华文仿宋" w:hAnsi="华文仿宋" w:hint="eastAsia"/>
          <w:sz w:val="28"/>
          <w:szCs w:val="28"/>
        </w:rPr>
        <w:t>低于72分的为不合格。</w:t>
      </w:r>
      <w:r>
        <w:rPr>
          <w:rFonts w:ascii="华文仿宋" w:eastAsia="华文仿宋" w:hAnsi="华文仿宋"/>
          <w:sz w:val="28"/>
          <w:szCs w:val="28"/>
        </w:rPr>
        <w:t>7</w:t>
      </w:r>
      <w:r>
        <w:rPr>
          <w:rFonts w:ascii="华文仿宋" w:eastAsia="华文仿宋" w:hAnsi="华文仿宋" w:hint="eastAsia"/>
          <w:sz w:val="28"/>
          <w:szCs w:val="28"/>
        </w:rPr>
        <w:t>2～89分为基本合格、</w:t>
      </w:r>
      <w:r>
        <w:rPr>
          <w:rFonts w:ascii="华文仿宋" w:eastAsia="华文仿宋" w:hAnsi="华文仿宋"/>
          <w:sz w:val="28"/>
          <w:szCs w:val="28"/>
        </w:rPr>
        <w:t>9</w:t>
      </w:r>
      <w:r>
        <w:rPr>
          <w:rFonts w:ascii="华文仿宋" w:eastAsia="华文仿宋" w:hAnsi="华文仿宋" w:hint="eastAsia"/>
          <w:sz w:val="28"/>
          <w:szCs w:val="28"/>
        </w:rPr>
        <w:t>0～</w:t>
      </w:r>
      <w:r>
        <w:rPr>
          <w:rFonts w:ascii="华文仿宋" w:eastAsia="华文仿宋" w:hAnsi="华文仿宋"/>
          <w:sz w:val="28"/>
          <w:szCs w:val="28"/>
        </w:rPr>
        <w:t>1</w:t>
      </w:r>
      <w:r>
        <w:rPr>
          <w:rFonts w:ascii="华文仿宋" w:eastAsia="华文仿宋" w:hAnsi="华文仿宋" w:hint="eastAsia"/>
          <w:sz w:val="28"/>
          <w:szCs w:val="28"/>
        </w:rPr>
        <w:t>01分为合格、103～</w:t>
      </w:r>
      <w:r>
        <w:rPr>
          <w:rFonts w:ascii="华文仿宋" w:eastAsia="华文仿宋" w:hAnsi="华文仿宋"/>
          <w:sz w:val="28"/>
          <w:szCs w:val="28"/>
        </w:rPr>
        <w:t>1</w:t>
      </w:r>
      <w:r>
        <w:rPr>
          <w:rFonts w:ascii="华文仿宋" w:eastAsia="华文仿宋" w:hAnsi="华文仿宋" w:hint="eastAsia"/>
          <w:sz w:val="28"/>
          <w:szCs w:val="28"/>
        </w:rPr>
        <w:t>2</w:t>
      </w:r>
      <w:r>
        <w:rPr>
          <w:rFonts w:ascii="华文仿宋" w:eastAsia="华文仿宋" w:hAnsi="华文仿宋"/>
          <w:sz w:val="28"/>
          <w:szCs w:val="28"/>
        </w:rPr>
        <w:t>0</w:t>
      </w:r>
      <w:r>
        <w:rPr>
          <w:rFonts w:ascii="华文仿宋" w:eastAsia="华文仿宋" w:hAnsi="华文仿宋" w:hint="eastAsia"/>
          <w:sz w:val="28"/>
          <w:szCs w:val="28"/>
        </w:rPr>
        <w:t>分为优秀。</w:t>
      </w:r>
    </w:p>
    <w:p w14:paraId="3E0F0AA0"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 任期内已被评选为上海市特级教师、正高级教师的，不参加考核，考核结果为“荣誉职称晋升”。</w:t>
      </w:r>
    </w:p>
    <w:p w14:paraId="62177F8E"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 产假、重病假情况连续6个月以上且无法参加专业活动、无法参加考核的骨干教师，可选择是否参加考核，如参加考核则按实际考核成绩计入考核结果，如不参加考核则结果为“未考核”。</w:t>
      </w:r>
    </w:p>
    <w:p w14:paraId="3A8545D9"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4. 任期内退休、离职的骨干教师，不参加考核，考核结果为“未考核”。</w:t>
      </w:r>
    </w:p>
    <w:p w14:paraId="25D578D0"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5. 任期内参加援藏、援疆、</w:t>
      </w:r>
      <w:proofErr w:type="gramStart"/>
      <w:r>
        <w:rPr>
          <w:rFonts w:ascii="华文仿宋" w:eastAsia="华文仿宋" w:hAnsi="华文仿宋" w:hint="eastAsia"/>
          <w:sz w:val="28"/>
          <w:szCs w:val="28"/>
        </w:rPr>
        <w:t>援滇等</w:t>
      </w:r>
      <w:proofErr w:type="gramEnd"/>
      <w:r>
        <w:rPr>
          <w:rFonts w:ascii="华文仿宋" w:eastAsia="华文仿宋" w:hAnsi="华文仿宋" w:hint="eastAsia"/>
          <w:sz w:val="28"/>
          <w:szCs w:val="28"/>
        </w:rPr>
        <w:t>对口支援超过一学期以上的，可选择是否参加考核，按实际考核成绩计入考核结果，不参加考核的，考核结果为“合格”。</w:t>
      </w:r>
    </w:p>
    <w:p w14:paraId="09889B62" w14:textId="77777777" w:rsidR="00A05972" w:rsidRDefault="00A05972" w:rsidP="00A05972">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6. </w:t>
      </w:r>
      <w:proofErr w:type="gramStart"/>
      <w:r>
        <w:rPr>
          <w:rFonts w:ascii="华文仿宋" w:eastAsia="华文仿宋" w:hAnsi="华文仿宋" w:hint="eastAsia"/>
          <w:sz w:val="28"/>
          <w:szCs w:val="28"/>
        </w:rPr>
        <w:t>本考核</w:t>
      </w:r>
      <w:proofErr w:type="gramEnd"/>
      <w:r>
        <w:rPr>
          <w:rFonts w:ascii="华文仿宋" w:eastAsia="华文仿宋" w:hAnsi="华文仿宋" w:hint="eastAsia"/>
          <w:sz w:val="28"/>
          <w:szCs w:val="28"/>
        </w:rPr>
        <w:t>细则经教育局同意后实施，</w:t>
      </w:r>
      <w:proofErr w:type="gramStart"/>
      <w:r>
        <w:rPr>
          <w:rFonts w:ascii="华文仿宋" w:eastAsia="华文仿宋" w:hAnsi="华文仿宋" w:hint="eastAsia"/>
          <w:sz w:val="28"/>
          <w:szCs w:val="28"/>
        </w:rPr>
        <w:t>原考核</w:t>
      </w:r>
      <w:proofErr w:type="gramEnd"/>
      <w:r>
        <w:rPr>
          <w:rFonts w:ascii="华文仿宋" w:eastAsia="华文仿宋" w:hAnsi="华文仿宋" w:hint="eastAsia"/>
          <w:sz w:val="28"/>
          <w:szCs w:val="28"/>
        </w:rPr>
        <w:t>细则自动废止。如有新的上级规定，按新规定执行。</w:t>
      </w:r>
    </w:p>
    <w:p w14:paraId="58BDAD95" w14:textId="77777777" w:rsidR="00A05972" w:rsidRDefault="00A05972" w:rsidP="00A05972">
      <w:pPr>
        <w:spacing w:line="480" w:lineRule="exact"/>
        <w:ind w:firstLineChars="200" w:firstLine="560"/>
        <w:rPr>
          <w:rFonts w:ascii="华文仿宋" w:eastAsia="华文仿宋" w:hAnsi="华文仿宋"/>
          <w:sz w:val="28"/>
          <w:szCs w:val="28"/>
        </w:rPr>
      </w:pPr>
    </w:p>
    <w:p w14:paraId="7FB902B2" w14:textId="77777777" w:rsidR="00A05972" w:rsidRPr="00032046" w:rsidRDefault="00A05972" w:rsidP="00A05972"/>
    <w:p w14:paraId="015A057D" w14:textId="77777777" w:rsidR="00A05972" w:rsidRPr="00A05972" w:rsidRDefault="00A05972"/>
    <w:sectPr w:rsidR="00A05972" w:rsidRPr="00A05972" w:rsidSect="00A05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6AE75" w14:textId="77777777" w:rsidR="00C11666" w:rsidRDefault="00C11666" w:rsidP="006851A7">
      <w:r>
        <w:separator/>
      </w:r>
    </w:p>
  </w:endnote>
  <w:endnote w:type="continuationSeparator" w:id="0">
    <w:p w14:paraId="55673477" w14:textId="77777777" w:rsidR="00C11666" w:rsidRDefault="00C11666" w:rsidP="0068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AB51" w14:textId="77777777" w:rsidR="00C11666" w:rsidRDefault="00C11666" w:rsidP="006851A7">
      <w:r>
        <w:separator/>
      </w:r>
    </w:p>
  </w:footnote>
  <w:footnote w:type="continuationSeparator" w:id="0">
    <w:p w14:paraId="0B2DFC7E" w14:textId="77777777" w:rsidR="00C11666" w:rsidRDefault="00C11666" w:rsidP="00685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72"/>
    <w:rsid w:val="006851A7"/>
    <w:rsid w:val="0094731F"/>
    <w:rsid w:val="00A05972"/>
    <w:rsid w:val="00A850BC"/>
    <w:rsid w:val="00C1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70977"/>
  <w15:chartTrackingRefBased/>
  <w15:docId w15:val="{59BC96CA-EAC8-4917-B1A7-3710C76B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972"/>
    <w:pPr>
      <w:widowControl w:val="0"/>
      <w:spacing w:after="0" w:line="240" w:lineRule="auto"/>
      <w:jc w:val="both"/>
    </w:pPr>
    <w:rPr>
      <w:rFonts w:ascii="Times New Roman" w:eastAsia="宋体" w:hAnsi="Times New Roman"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1A7"/>
    <w:pPr>
      <w:tabs>
        <w:tab w:val="center" w:pos="4153"/>
        <w:tab w:val="right" w:pos="8306"/>
      </w:tabs>
      <w:snapToGrid w:val="0"/>
      <w:jc w:val="center"/>
    </w:pPr>
    <w:rPr>
      <w:sz w:val="18"/>
      <w:szCs w:val="18"/>
    </w:rPr>
  </w:style>
  <w:style w:type="character" w:customStyle="1" w:styleId="a4">
    <w:name w:val="页眉 字符"/>
    <w:basedOn w:val="a0"/>
    <w:link w:val="a3"/>
    <w:uiPriority w:val="99"/>
    <w:rsid w:val="006851A7"/>
    <w:rPr>
      <w:rFonts w:ascii="Times New Roman" w:eastAsia="宋体" w:hAnsi="Times New Roman" w:cs="Times New Roman"/>
      <w:sz w:val="18"/>
      <w:szCs w:val="18"/>
      <w14:ligatures w14:val="none"/>
    </w:rPr>
  </w:style>
  <w:style w:type="paragraph" w:styleId="a5">
    <w:name w:val="footer"/>
    <w:basedOn w:val="a"/>
    <w:link w:val="a6"/>
    <w:uiPriority w:val="99"/>
    <w:unhideWhenUsed/>
    <w:rsid w:val="006851A7"/>
    <w:pPr>
      <w:tabs>
        <w:tab w:val="center" w:pos="4153"/>
        <w:tab w:val="right" w:pos="8306"/>
      </w:tabs>
      <w:snapToGrid w:val="0"/>
      <w:jc w:val="left"/>
    </w:pPr>
    <w:rPr>
      <w:sz w:val="18"/>
      <w:szCs w:val="18"/>
    </w:rPr>
  </w:style>
  <w:style w:type="character" w:customStyle="1" w:styleId="a6">
    <w:name w:val="页脚 字符"/>
    <w:basedOn w:val="a0"/>
    <w:link w:val="a5"/>
    <w:uiPriority w:val="99"/>
    <w:rsid w:val="006851A7"/>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glaptop</dc:creator>
  <cp:keywords/>
  <dc:description/>
  <cp:lastModifiedBy>glaptop</cp:lastModifiedBy>
  <cp:revision>2</cp:revision>
  <dcterms:created xsi:type="dcterms:W3CDTF">2024-05-28T02:39:00Z</dcterms:created>
  <dcterms:modified xsi:type="dcterms:W3CDTF">2024-06-04T08:15:00Z</dcterms:modified>
</cp:coreProperties>
</file>