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2EFA3" w14:textId="77777777" w:rsidR="00032046" w:rsidRDefault="00032046" w:rsidP="00032046">
      <w:pPr>
        <w:spacing w:line="480" w:lineRule="exact"/>
        <w:jc w:val="left"/>
        <w:rPr>
          <w:rFonts w:ascii="黑体" w:eastAsia="黑体" w:hAnsi="黑体"/>
          <w:bCs/>
          <w:sz w:val="32"/>
          <w:szCs w:val="32"/>
        </w:rPr>
      </w:pPr>
      <w:r>
        <w:rPr>
          <w:rFonts w:ascii="黑体" w:eastAsia="黑体" w:hAnsi="黑体" w:hint="eastAsia"/>
          <w:bCs/>
          <w:sz w:val="32"/>
          <w:szCs w:val="32"/>
        </w:rPr>
        <w:t>附件1</w:t>
      </w:r>
    </w:p>
    <w:p w14:paraId="27FFFFFB" w14:textId="77777777" w:rsidR="00032046" w:rsidRDefault="00032046" w:rsidP="00032046">
      <w:pPr>
        <w:spacing w:line="480" w:lineRule="exact"/>
        <w:jc w:val="center"/>
        <w:rPr>
          <w:rFonts w:ascii="黑体" w:eastAsia="黑体" w:hAnsi="黑体"/>
          <w:bCs/>
          <w:sz w:val="32"/>
          <w:szCs w:val="32"/>
        </w:rPr>
      </w:pPr>
      <w:r>
        <w:rPr>
          <w:rFonts w:ascii="黑体" w:eastAsia="黑体" w:hAnsi="黑体" w:hint="eastAsia"/>
          <w:bCs/>
          <w:sz w:val="32"/>
          <w:szCs w:val="32"/>
        </w:rPr>
        <w:t>浦东新区学科带头人考核实施细则</w:t>
      </w:r>
    </w:p>
    <w:p w14:paraId="230C09C4" w14:textId="77777777" w:rsidR="00032046" w:rsidRDefault="00032046" w:rsidP="00032046">
      <w:pPr>
        <w:spacing w:line="480" w:lineRule="exact"/>
        <w:rPr>
          <w:rFonts w:ascii="华文仿宋" w:eastAsia="华文仿宋" w:hAnsi="华文仿宋"/>
          <w:sz w:val="28"/>
          <w:szCs w:val="28"/>
        </w:rPr>
      </w:pPr>
    </w:p>
    <w:p w14:paraId="1FDF65EB"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为切实促进学科带头人的专业发展，有效发挥他们在浦东新区教育教学改革中的引领作用，促进浦东新区师资队伍整体素质的提高，根据《浦东新区教育系统学科带头人、骨干教师和青年新秀队伍建设的实施意见》（浦教职成〔2019〕2号）精神，遵循“优胜劣汰，滚动发展”的原则，按照浦东新区教育局对区学科带头人的职责要求及考核规定，制定本考核实施细则。</w:t>
      </w:r>
    </w:p>
    <w:p w14:paraId="5855A74F" w14:textId="77777777" w:rsidR="00032046" w:rsidRDefault="00032046" w:rsidP="00032046">
      <w:pPr>
        <w:spacing w:beforeLines="50" w:before="156" w:line="480" w:lineRule="exact"/>
        <w:ind w:firstLine="471"/>
        <w:outlineLvl w:val="0"/>
        <w:rPr>
          <w:rFonts w:ascii="华文仿宋" w:eastAsia="华文仿宋" w:hAnsi="华文仿宋"/>
          <w:b/>
          <w:sz w:val="28"/>
          <w:szCs w:val="28"/>
        </w:rPr>
      </w:pPr>
      <w:r>
        <w:rPr>
          <w:rFonts w:ascii="华文仿宋" w:eastAsia="华文仿宋" w:hAnsi="华文仿宋" w:hint="eastAsia"/>
          <w:b/>
          <w:sz w:val="28"/>
          <w:szCs w:val="28"/>
        </w:rPr>
        <w:t>一、考核形式和内容</w:t>
      </w:r>
    </w:p>
    <w:p w14:paraId="690071B7"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区学科带头人的考核采用材料考核的方式进行。考核内容及指标一致，满分为120分。所有考核材料的有效时间为2022年6月1日至2024年6月30日。</w:t>
      </w:r>
    </w:p>
    <w:p w14:paraId="51176886"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考核内容分为五个部分，其对应的分值如下：</w:t>
      </w:r>
    </w:p>
    <w:tbl>
      <w:tblPr>
        <w:tblW w:w="7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410"/>
        <w:gridCol w:w="1802"/>
      </w:tblGrid>
      <w:tr w:rsidR="00032046" w14:paraId="4DF36812" w14:textId="77777777" w:rsidTr="00D604BE">
        <w:trPr>
          <w:trHeight w:val="340"/>
          <w:jc w:val="center"/>
        </w:trPr>
        <w:tc>
          <w:tcPr>
            <w:tcW w:w="3081" w:type="dxa"/>
            <w:vAlign w:val="center"/>
          </w:tcPr>
          <w:p w14:paraId="0A11BDDE" w14:textId="77777777" w:rsidR="00032046" w:rsidRDefault="00032046" w:rsidP="00D604BE">
            <w:pPr>
              <w:spacing w:line="480" w:lineRule="exact"/>
              <w:jc w:val="center"/>
              <w:rPr>
                <w:rFonts w:ascii="华文仿宋" w:eastAsia="华文仿宋" w:hAnsi="华文仿宋"/>
                <w:b/>
                <w:sz w:val="28"/>
                <w:szCs w:val="28"/>
              </w:rPr>
            </w:pPr>
            <w:r>
              <w:rPr>
                <w:rFonts w:ascii="华文仿宋" w:eastAsia="华文仿宋" w:hAnsi="华文仿宋" w:hint="eastAsia"/>
                <w:b/>
                <w:sz w:val="28"/>
                <w:szCs w:val="28"/>
              </w:rPr>
              <w:t>考核内容</w:t>
            </w:r>
          </w:p>
        </w:tc>
        <w:tc>
          <w:tcPr>
            <w:tcW w:w="2410" w:type="dxa"/>
            <w:vAlign w:val="center"/>
          </w:tcPr>
          <w:p w14:paraId="65AD9150" w14:textId="77777777" w:rsidR="00032046" w:rsidRDefault="00032046" w:rsidP="00D604BE">
            <w:pPr>
              <w:spacing w:line="480" w:lineRule="exact"/>
              <w:jc w:val="center"/>
              <w:rPr>
                <w:rFonts w:ascii="华文仿宋" w:eastAsia="华文仿宋" w:hAnsi="华文仿宋"/>
                <w:b/>
                <w:sz w:val="28"/>
                <w:szCs w:val="28"/>
              </w:rPr>
            </w:pPr>
            <w:r>
              <w:rPr>
                <w:rFonts w:ascii="华文仿宋" w:eastAsia="华文仿宋" w:hAnsi="华文仿宋" w:hint="eastAsia"/>
                <w:b/>
                <w:sz w:val="28"/>
                <w:szCs w:val="28"/>
              </w:rPr>
              <w:t>具体指标</w:t>
            </w:r>
          </w:p>
        </w:tc>
        <w:tc>
          <w:tcPr>
            <w:tcW w:w="1802" w:type="dxa"/>
            <w:vAlign w:val="center"/>
          </w:tcPr>
          <w:p w14:paraId="4EAC9596" w14:textId="77777777" w:rsidR="00032046" w:rsidRDefault="00032046" w:rsidP="00D604BE">
            <w:pPr>
              <w:spacing w:line="480" w:lineRule="exact"/>
              <w:jc w:val="center"/>
              <w:rPr>
                <w:rFonts w:ascii="华文仿宋" w:eastAsia="华文仿宋" w:hAnsi="华文仿宋"/>
                <w:b/>
                <w:sz w:val="28"/>
                <w:szCs w:val="28"/>
              </w:rPr>
            </w:pPr>
            <w:r>
              <w:rPr>
                <w:rFonts w:ascii="华文仿宋" w:eastAsia="华文仿宋" w:hAnsi="华文仿宋" w:hint="eastAsia"/>
                <w:b/>
                <w:sz w:val="28"/>
                <w:szCs w:val="28"/>
              </w:rPr>
              <w:t>分值</w:t>
            </w:r>
          </w:p>
        </w:tc>
      </w:tr>
      <w:tr w:rsidR="00032046" w14:paraId="703763C7" w14:textId="77777777" w:rsidTr="00D604BE">
        <w:trPr>
          <w:trHeight w:val="340"/>
          <w:jc w:val="center"/>
        </w:trPr>
        <w:tc>
          <w:tcPr>
            <w:tcW w:w="3081" w:type="dxa"/>
            <w:vAlign w:val="center"/>
          </w:tcPr>
          <w:p w14:paraId="0DEC4672"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师德</w:t>
            </w:r>
          </w:p>
        </w:tc>
        <w:tc>
          <w:tcPr>
            <w:tcW w:w="2410" w:type="dxa"/>
            <w:vAlign w:val="center"/>
          </w:tcPr>
          <w:p w14:paraId="3C5736F7"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师德表现</w:t>
            </w:r>
          </w:p>
        </w:tc>
        <w:tc>
          <w:tcPr>
            <w:tcW w:w="1802" w:type="dxa"/>
            <w:vAlign w:val="center"/>
          </w:tcPr>
          <w:p w14:paraId="78E47A5E"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一票否决</w:t>
            </w:r>
          </w:p>
        </w:tc>
      </w:tr>
      <w:tr w:rsidR="00032046" w14:paraId="11586EF7" w14:textId="77777777" w:rsidTr="00D604BE">
        <w:trPr>
          <w:trHeight w:val="340"/>
          <w:jc w:val="center"/>
        </w:trPr>
        <w:tc>
          <w:tcPr>
            <w:tcW w:w="3081" w:type="dxa"/>
            <w:vAlign w:val="center"/>
          </w:tcPr>
          <w:p w14:paraId="17FBBE69"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校内履职及引领</w:t>
            </w:r>
          </w:p>
        </w:tc>
        <w:tc>
          <w:tcPr>
            <w:tcW w:w="2410" w:type="dxa"/>
            <w:vAlign w:val="center"/>
          </w:tcPr>
          <w:p w14:paraId="2FC47206"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校内履职及引领</w:t>
            </w:r>
          </w:p>
        </w:tc>
        <w:tc>
          <w:tcPr>
            <w:tcW w:w="1802" w:type="dxa"/>
            <w:vAlign w:val="center"/>
          </w:tcPr>
          <w:p w14:paraId="1E572CA5"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20分</w:t>
            </w:r>
          </w:p>
        </w:tc>
      </w:tr>
      <w:tr w:rsidR="00032046" w14:paraId="314AAD5C" w14:textId="77777777" w:rsidTr="00D604BE">
        <w:trPr>
          <w:trHeight w:val="340"/>
          <w:jc w:val="center"/>
        </w:trPr>
        <w:tc>
          <w:tcPr>
            <w:tcW w:w="3081" w:type="dxa"/>
            <w:vMerge w:val="restart"/>
            <w:vAlign w:val="center"/>
          </w:tcPr>
          <w:p w14:paraId="08A5B5FA"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学科团队研修活动表现</w:t>
            </w:r>
          </w:p>
        </w:tc>
        <w:tc>
          <w:tcPr>
            <w:tcW w:w="2410" w:type="dxa"/>
            <w:vAlign w:val="center"/>
          </w:tcPr>
          <w:p w14:paraId="5842ECCB"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考勤</w:t>
            </w:r>
          </w:p>
        </w:tc>
        <w:tc>
          <w:tcPr>
            <w:tcW w:w="1802" w:type="dxa"/>
            <w:vAlign w:val="center"/>
          </w:tcPr>
          <w:p w14:paraId="1A8311B3"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w:t>
            </w:r>
            <w:r>
              <w:rPr>
                <w:rFonts w:ascii="华文仿宋" w:eastAsia="华文仿宋" w:hAnsi="华文仿宋" w:hint="eastAsia"/>
                <w:sz w:val="28"/>
                <w:szCs w:val="28"/>
              </w:rPr>
              <w:t>分</w:t>
            </w:r>
          </w:p>
        </w:tc>
      </w:tr>
      <w:tr w:rsidR="00032046" w14:paraId="15A4C5C2" w14:textId="77777777" w:rsidTr="00D604BE">
        <w:trPr>
          <w:trHeight w:val="340"/>
          <w:jc w:val="center"/>
        </w:trPr>
        <w:tc>
          <w:tcPr>
            <w:tcW w:w="3081" w:type="dxa"/>
            <w:vMerge/>
            <w:vAlign w:val="center"/>
          </w:tcPr>
          <w:p w14:paraId="18E97824" w14:textId="77777777" w:rsidR="00032046" w:rsidRDefault="00032046" w:rsidP="00D604BE">
            <w:pPr>
              <w:spacing w:line="480" w:lineRule="exact"/>
              <w:jc w:val="center"/>
              <w:rPr>
                <w:rFonts w:ascii="华文仿宋" w:eastAsia="华文仿宋" w:hAnsi="华文仿宋"/>
                <w:sz w:val="28"/>
                <w:szCs w:val="28"/>
              </w:rPr>
            </w:pPr>
          </w:p>
        </w:tc>
        <w:tc>
          <w:tcPr>
            <w:tcW w:w="2410" w:type="dxa"/>
            <w:vAlign w:val="center"/>
          </w:tcPr>
          <w:p w14:paraId="4FB2CF20"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专业贡献</w:t>
            </w:r>
          </w:p>
        </w:tc>
        <w:tc>
          <w:tcPr>
            <w:tcW w:w="1802" w:type="dxa"/>
            <w:vAlign w:val="center"/>
          </w:tcPr>
          <w:p w14:paraId="19C0D47F"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sz w:val="28"/>
                <w:szCs w:val="28"/>
              </w:rPr>
              <w:t>20</w:t>
            </w:r>
            <w:r>
              <w:rPr>
                <w:rFonts w:ascii="华文仿宋" w:eastAsia="华文仿宋" w:hAnsi="华文仿宋" w:hint="eastAsia"/>
                <w:sz w:val="28"/>
                <w:szCs w:val="28"/>
              </w:rPr>
              <w:t>分</w:t>
            </w:r>
          </w:p>
        </w:tc>
      </w:tr>
      <w:tr w:rsidR="00032046" w14:paraId="2E94C501" w14:textId="77777777" w:rsidTr="00D604BE">
        <w:trPr>
          <w:trHeight w:val="340"/>
          <w:jc w:val="center"/>
        </w:trPr>
        <w:tc>
          <w:tcPr>
            <w:tcW w:w="3081" w:type="dxa"/>
            <w:vMerge w:val="restart"/>
            <w:vAlign w:val="center"/>
          </w:tcPr>
          <w:p w14:paraId="6D43711A"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区域专业贡献</w:t>
            </w:r>
          </w:p>
        </w:tc>
        <w:tc>
          <w:tcPr>
            <w:tcW w:w="2410" w:type="dxa"/>
            <w:vAlign w:val="center"/>
          </w:tcPr>
          <w:p w14:paraId="4F56D32D"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培训课程</w:t>
            </w:r>
            <w:r>
              <w:rPr>
                <w:rStyle w:val="a5"/>
                <w:rFonts w:ascii="华文仿宋" w:eastAsia="华文仿宋" w:hAnsi="华文仿宋" w:hint="eastAsia"/>
                <w:sz w:val="28"/>
                <w:szCs w:val="28"/>
              </w:rPr>
              <w:footnoteReference w:id="1"/>
            </w:r>
          </w:p>
        </w:tc>
        <w:tc>
          <w:tcPr>
            <w:tcW w:w="1802" w:type="dxa"/>
            <w:vAlign w:val="center"/>
          </w:tcPr>
          <w:p w14:paraId="50F0525E"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20分</w:t>
            </w:r>
          </w:p>
        </w:tc>
      </w:tr>
      <w:tr w:rsidR="00032046" w14:paraId="43109C7E" w14:textId="77777777" w:rsidTr="00D604BE">
        <w:trPr>
          <w:trHeight w:val="340"/>
          <w:jc w:val="center"/>
        </w:trPr>
        <w:tc>
          <w:tcPr>
            <w:tcW w:w="3081" w:type="dxa"/>
            <w:vMerge/>
            <w:vAlign w:val="center"/>
          </w:tcPr>
          <w:p w14:paraId="1C567D93" w14:textId="77777777" w:rsidR="00032046" w:rsidRDefault="00032046" w:rsidP="00D604BE">
            <w:pPr>
              <w:spacing w:line="480" w:lineRule="exact"/>
              <w:jc w:val="center"/>
              <w:rPr>
                <w:rFonts w:ascii="华文仿宋" w:eastAsia="华文仿宋" w:hAnsi="华文仿宋"/>
                <w:sz w:val="28"/>
                <w:szCs w:val="28"/>
              </w:rPr>
            </w:pPr>
          </w:p>
        </w:tc>
        <w:tc>
          <w:tcPr>
            <w:tcW w:w="2410" w:type="dxa"/>
            <w:vAlign w:val="center"/>
          </w:tcPr>
          <w:p w14:paraId="3D1C2B72"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教学展示</w:t>
            </w:r>
          </w:p>
        </w:tc>
        <w:tc>
          <w:tcPr>
            <w:tcW w:w="1802" w:type="dxa"/>
            <w:vMerge w:val="restart"/>
            <w:vAlign w:val="center"/>
          </w:tcPr>
          <w:p w14:paraId="7CBB9358"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25分</w:t>
            </w:r>
          </w:p>
        </w:tc>
      </w:tr>
      <w:tr w:rsidR="00032046" w14:paraId="066C890B" w14:textId="77777777" w:rsidTr="00D604BE">
        <w:trPr>
          <w:trHeight w:val="340"/>
          <w:jc w:val="center"/>
        </w:trPr>
        <w:tc>
          <w:tcPr>
            <w:tcW w:w="3081" w:type="dxa"/>
            <w:vMerge/>
            <w:vAlign w:val="center"/>
          </w:tcPr>
          <w:p w14:paraId="6F505B9F" w14:textId="77777777" w:rsidR="00032046" w:rsidRDefault="00032046" w:rsidP="00D604BE">
            <w:pPr>
              <w:spacing w:line="480" w:lineRule="exact"/>
              <w:jc w:val="center"/>
              <w:rPr>
                <w:rFonts w:ascii="华文仿宋" w:eastAsia="华文仿宋" w:hAnsi="华文仿宋"/>
                <w:sz w:val="28"/>
                <w:szCs w:val="28"/>
              </w:rPr>
            </w:pPr>
          </w:p>
        </w:tc>
        <w:tc>
          <w:tcPr>
            <w:tcW w:w="2410" w:type="dxa"/>
            <w:vAlign w:val="center"/>
          </w:tcPr>
          <w:p w14:paraId="78D7D865"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其他专业贡献</w:t>
            </w:r>
          </w:p>
        </w:tc>
        <w:tc>
          <w:tcPr>
            <w:tcW w:w="1802" w:type="dxa"/>
            <w:vMerge/>
            <w:vAlign w:val="center"/>
          </w:tcPr>
          <w:p w14:paraId="0B95A1CA" w14:textId="77777777" w:rsidR="00032046" w:rsidRDefault="00032046" w:rsidP="00D604BE">
            <w:pPr>
              <w:spacing w:line="480" w:lineRule="exact"/>
              <w:jc w:val="center"/>
              <w:rPr>
                <w:rFonts w:ascii="华文仿宋" w:eastAsia="华文仿宋" w:hAnsi="华文仿宋"/>
                <w:sz w:val="28"/>
                <w:szCs w:val="28"/>
              </w:rPr>
            </w:pPr>
          </w:p>
        </w:tc>
      </w:tr>
      <w:tr w:rsidR="00032046" w14:paraId="6CA369C5" w14:textId="77777777" w:rsidTr="00D604BE">
        <w:trPr>
          <w:trHeight w:val="340"/>
          <w:jc w:val="center"/>
        </w:trPr>
        <w:tc>
          <w:tcPr>
            <w:tcW w:w="3081" w:type="dxa"/>
            <w:vMerge w:val="restart"/>
            <w:vAlign w:val="center"/>
          </w:tcPr>
          <w:p w14:paraId="0CD2297D"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个人学术成果</w:t>
            </w:r>
          </w:p>
        </w:tc>
        <w:tc>
          <w:tcPr>
            <w:tcW w:w="2410" w:type="dxa"/>
            <w:vAlign w:val="center"/>
          </w:tcPr>
          <w:p w14:paraId="758E669D"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课题成果</w:t>
            </w:r>
          </w:p>
        </w:tc>
        <w:tc>
          <w:tcPr>
            <w:tcW w:w="1802" w:type="dxa"/>
            <w:vMerge w:val="restart"/>
            <w:vAlign w:val="center"/>
          </w:tcPr>
          <w:p w14:paraId="73039CCD"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25分</w:t>
            </w:r>
          </w:p>
        </w:tc>
      </w:tr>
      <w:tr w:rsidR="00032046" w14:paraId="67A70A1E" w14:textId="77777777" w:rsidTr="00D604BE">
        <w:trPr>
          <w:trHeight w:val="340"/>
          <w:jc w:val="center"/>
        </w:trPr>
        <w:tc>
          <w:tcPr>
            <w:tcW w:w="3081" w:type="dxa"/>
            <w:vMerge/>
            <w:vAlign w:val="center"/>
          </w:tcPr>
          <w:p w14:paraId="541D89CD" w14:textId="77777777" w:rsidR="00032046" w:rsidRDefault="00032046" w:rsidP="00D604BE">
            <w:pPr>
              <w:spacing w:line="480" w:lineRule="exact"/>
              <w:jc w:val="center"/>
              <w:rPr>
                <w:rFonts w:ascii="华文仿宋" w:eastAsia="华文仿宋" w:hAnsi="华文仿宋"/>
                <w:sz w:val="28"/>
                <w:szCs w:val="28"/>
              </w:rPr>
            </w:pPr>
          </w:p>
        </w:tc>
        <w:tc>
          <w:tcPr>
            <w:tcW w:w="2410" w:type="dxa"/>
            <w:vAlign w:val="center"/>
          </w:tcPr>
          <w:p w14:paraId="0C3C5238"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论文成果</w:t>
            </w:r>
          </w:p>
        </w:tc>
        <w:tc>
          <w:tcPr>
            <w:tcW w:w="1802" w:type="dxa"/>
            <w:vMerge/>
            <w:vAlign w:val="center"/>
          </w:tcPr>
          <w:p w14:paraId="012AF288" w14:textId="77777777" w:rsidR="00032046" w:rsidRDefault="00032046" w:rsidP="00D604BE">
            <w:pPr>
              <w:spacing w:line="480" w:lineRule="exact"/>
              <w:jc w:val="center"/>
              <w:rPr>
                <w:rFonts w:ascii="华文仿宋" w:eastAsia="华文仿宋" w:hAnsi="华文仿宋"/>
                <w:sz w:val="28"/>
                <w:szCs w:val="28"/>
              </w:rPr>
            </w:pPr>
          </w:p>
        </w:tc>
      </w:tr>
      <w:tr w:rsidR="00032046" w14:paraId="37CACDD4" w14:textId="77777777" w:rsidTr="00D604BE">
        <w:trPr>
          <w:trHeight w:val="340"/>
          <w:jc w:val="center"/>
        </w:trPr>
        <w:tc>
          <w:tcPr>
            <w:tcW w:w="3081" w:type="dxa"/>
            <w:vMerge/>
            <w:vAlign w:val="center"/>
          </w:tcPr>
          <w:p w14:paraId="0E3C2261" w14:textId="77777777" w:rsidR="00032046" w:rsidRDefault="00032046" w:rsidP="00D604BE">
            <w:pPr>
              <w:spacing w:line="480" w:lineRule="exact"/>
              <w:jc w:val="center"/>
              <w:rPr>
                <w:rFonts w:ascii="华文仿宋" w:eastAsia="华文仿宋" w:hAnsi="华文仿宋"/>
                <w:sz w:val="28"/>
                <w:szCs w:val="28"/>
              </w:rPr>
            </w:pPr>
          </w:p>
        </w:tc>
        <w:tc>
          <w:tcPr>
            <w:tcW w:w="2410" w:type="dxa"/>
            <w:vAlign w:val="center"/>
          </w:tcPr>
          <w:p w14:paraId="33FF9D62" w14:textId="77777777" w:rsidR="00032046" w:rsidRDefault="00032046" w:rsidP="00D604BE">
            <w:pPr>
              <w:spacing w:line="480" w:lineRule="exact"/>
              <w:jc w:val="center"/>
              <w:rPr>
                <w:rFonts w:ascii="华文仿宋" w:eastAsia="华文仿宋" w:hAnsi="华文仿宋"/>
                <w:sz w:val="28"/>
                <w:szCs w:val="28"/>
              </w:rPr>
            </w:pPr>
            <w:r>
              <w:rPr>
                <w:rFonts w:ascii="华文仿宋" w:eastAsia="华文仿宋" w:hAnsi="华文仿宋" w:hint="eastAsia"/>
                <w:sz w:val="28"/>
                <w:szCs w:val="28"/>
              </w:rPr>
              <w:t>著作成果</w:t>
            </w:r>
          </w:p>
        </w:tc>
        <w:tc>
          <w:tcPr>
            <w:tcW w:w="1802" w:type="dxa"/>
            <w:vMerge/>
            <w:vAlign w:val="center"/>
          </w:tcPr>
          <w:p w14:paraId="704590A4" w14:textId="77777777" w:rsidR="00032046" w:rsidRDefault="00032046" w:rsidP="00D604BE">
            <w:pPr>
              <w:spacing w:line="480" w:lineRule="exact"/>
              <w:jc w:val="center"/>
              <w:rPr>
                <w:rFonts w:ascii="华文仿宋" w:eastAsia="华文仿宋" w:hAnsi="华文仿宋"/>
                <w:sz w:val="28"/>
                <w:szCs w:val="28"/>
              </w:rPr>
            </w:pPr>
          </w:p>
        </w:tc>
      </w:tr>
    </w:tbl>
    <w:p w14:paraId="7A47075E" w14:textId="77777777" w:rsidR="00032046" w:rsidRDefault="00032046" w:rsidP="00032046">
      <w:pPr>
        <w:spacing w:line="480" w:lineRule="exact"/>
        <w:ind w:firstLineChars="200" w:firstLine="561"/>
        <w:outlineLvl w:val="0"/>
        <w:rPr>
          <w:rFonts w:ascii="华文仿宋" w:eastAsia="华文仿宋" w:hAnsi="华文仿宋"/>
          <w:b/>
          <w:sz w:val="28"/>
          <w:szCs w:val="28"/>
        </w:rPr>
      </w:pPr>
      <w:r>
        <w:rPr>
          <w:rFonts w:ascii="华文仿宋" w:eastAsia="华文仿宋" w:hAnsi="华文仿宋" w:hint="eastAsia"/>
          <w:b/>
          <w:sz w:val="28"/>
          <w:szCs w:val="28"/>
        </w:rPr>
        <w:t>二、具体指标解读和计分</w:t>
      </w:r>
    </w:p>
    <w:p w14:paraId="11F29AAF"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（一）师德情况</w:t>
      </w:r>
    </w:p>
    <w:p w14:paraId="2324F707"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实行师德一票否决制。师德考核由教师聘任学校实施。师德不合格者，任期考核为不合格。</w:t>
      </w:r>
    </w:p>
    <w:p w14:paraId="5C259E02"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（二）校内履职及引领情况</w:t>
      </w:r>
    </w:p>
    <w:p w14:paraId="2A2BA418"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“校内履职及引领”情况由学科带头人任职学校实施。参加区内柔性流动的教师，由原学校和支教学校共同认定。学科带头人所在学校根据</w:t>
      </w:r>
      <w:proofErr w:type="gramStart"/>
      <w:r>
        <w:rPr>
          <w:rFonts w:ascii="华文仿宋" w:eastAsia="华文仿宋" w:hAnsi="华文仿宋" w:hint="eastAsia"/>
          <w:sz w:val="28"/>
          <w:szCs w:val="28"/>
        </w:rPr>
        <w:t>以下维</w:t>
      </w:r>
      <w:proofErr w:type="gramEnd"/>
      <w:r>
        <w:rPr>
          <w:rFonts w:ascii="华文仿宋" w:eastAsia="华文仿宋" w:hAnsi="华文仿宋" w:hint="eastAsia"/>
          <w:sz w:val="28"/>
          <w:szCs w:val="28"/>
        </w:rPr>
        <w:t>度，自行研制打分标准：</w:t>
      </w:r>
    </w:p>
    <w:p w14:paraId="6742FFBD"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1.履职情况，根据该教师实际工作量、每周课时数、教育教学业绩、学生满意度、承担学校其他工作等进行综合评价。</w:t>
      </w:r>
    </w:p>
    <w:p w14:paraId="1059D965"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2.育德能力，根据该教师是否担任班主任等工作进行评价。</w:t>
      </w:r>
    </w:p>
    <w:p w14:paraId="61F5A219"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3.承担学校校本研修工作的情况，根据该教师是否承担主持学校教研工作、主持或参与校本课程、校本研修课程的开发和实施等情况进行评价。</w:t>
      </w:r>
    </w:p>
    <w:p w14:paraId="275891F1"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4.在本校、集团内或学区内发挥示范引领情况，根据该教师在校内、在集团内或学区内开设公开课、开设培训讲座、带教教师（带教本校教师、见习基地带教或集团</w:t>
      </w:r>
      <w:proofErr w:type="gramStart"/>
      <w:r>
        <w:rPr>
          <w:rFonts w:ascii="华文仿宋" w:eastAsia="华文仿宋" w:hAnsi="华文仿宋" w:hint="eastAsia"/>
          <w:sz w:val="28"/>
          <w:szCs w:val="28"/>
        </w:rPr>
        <w:t>校际带</w:t>
      </w:r>
      <w:proofErr w:type="gramEnd"/>
      <w:r>
        <w:rPr>
          <w:rFonts w:ascii="华文仿宋" w:eastAsia="华文仿宋" w:hAnsi="华文仿宋" w:hint="eastAsia"/>
          <w:sz w:val="28"/>
          <w:szCs w:val="28"/>
        </w:rPr>
        <w:t>教）等情况进行评价。</w:t>
      </w:r>
    </w:p>
    <w:p w14:paraId="0BE3A3DE"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以上两项指标由学校评分，由教师个人提供《校内履职及引领考核表》，学科团队领衔人检查登记。</w:t>
      </w:r>
    </w:p>
    <w:p w14:paraId="371242E8"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（三）学科团队研修活动表现</w:t>
      </w:r>
    </w:p>
    <w:p w14:paraId="529D8E27"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1.考勤</w:t>
      </w:r>
    </w:p>
    <w:p w14:paraId="01636023"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“考勤”指标的考核依据学科带头人在有效考核期内，在其所属学科团队活动的实际出勤情况进行评价。</w:t>
      </w:r>
    </w:p>
    <w:p w14:paraId="5C6BDCC1"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2.专业贡献</w:t>
      </w:r>
    </w:p>
    <w:p w14:paraId="3100C13D"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“专业贡献”指标考核学科带头人在其所属学科团队专业活动中做出的专业贡献。</w:t>
      </w:r>
      <w:bookmarkStart w:id="0" w:name="_Hlk9947859"/>
      <w:r>
        <w:rPr>
          <w:rFonts w:ascii="华文仿宋" w:eastAsia="华文仿宋" w:hAnsi="华文仿宋" w:hint="eastAsia"/>
          <w:sz w:val="28"/>
          <w:szCs w:val="28"/>
        </w:rPr>
        <w:t>由学科团队全体成员在领衔人的带领下，根据团队实践性课程的实施要求和评价方案，共同设计本学科团队的专业贡献评价标准。专业贡献的形式可以包括但不仅限于教学展示、点评其他教师的教学展示课、专业报告、专业讲座、主持读书分享活动等各种形式。</w:t>
      </w:r>
      <w:bookmarkStart w:id="1" w:name="_Hlk9947875"/>
      <w:bookmarkEnd w:id="0"/>
    </w:p>
    <w:p w14:paraId="05022066"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lastRenderedPageBreak/>
        <w:t>本指标由学科团队领衔人依据上述标准，对本学科团队学科带头人参与实践性课程中的专业表现和专业贡献进行评分。</w:t>
      </w:r>
      <w:bookmarkEnd w:id="1"/>
    </w:p>
    <w:p w14:paraId="3DA1975C"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参加浦东新区以个人姓名命名的教师培训基地的学员，本指标由基地主持人进行评分，参加教育局组织的挂职锻炼的，本指标由教育局相关处室进行评分，由教师个人提供《团队研修活动表现评价表》，学科团队领衔人检查登记。</w:t>
      </w:r>
    </w:p>
    <w:p w14:paraId="7B388800"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（四）区域专业贡献</w:t>
      </w:r>
    </w:p>
    <w:p w14:paraId="42C65133"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 培训课程</w:t>
      </w:r>
    </w:p>
    <w:p w14:paraId="4D25EC44"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培训课程”指标考核学科带头人在有效考核期内，开发、开设区教师继续教育选修课程的情况，以及承担区级教师培训项目中培训课程的情况。“培训课程”指标的打分，按每个人在课程开设中的实际课时承担数进行认定。具体标准如下：</w:t>
      </w:r>
    </w:p>
    <w:p w14:paraId="42E5C545"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（1）学科带头人实施教师继续教育选修课程，每10课时记7分。</w:t>
      </w:r>
    </w:p>
    <w:p w14:paraId="03CDB65F"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（2）学科带头人在区级教师专项培训中承担开发课程、审定课程、实施课程或课程学习评价工作的，按照其在各项目培训中的实际贡献情况认定课时数，每10课时记7分。</w:t>
      </w:r>
    </w:p>
    <w:p w14:paraId="05DA06E0"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2.教学展示</w:t>
      </w:r>
    </w:p>
    <w:p w14:paraId="184660DF" w14:textId="77777777" w:rsidR="00032046" w:rsidRDefault="00032046" w:rsidP="00032046">
      <w:pPr>
        <w:spacing w:line="480" w:lineRule="exact"/>
        <w:ind w:firstLine="480"/>
        <w:jc w:val="left"/>
        <w:rPr>
          <w:rFonts w:ascii="华文仿宋" w:eastAsia="华文仿宋" w:hAnsi="华文仿宋"/>
          <w:sz w:val="28"/>
          <w:szCs w:val="28"/>
        </w:rPr>
      </w:pPr>
      <w:r>
        <w:rPr>
          <w:rFonts w:ascii="华文仿宋" w:eastAsia="华文仿宋" w:hAnsi="华文仿宋" w:hint="eastAsia"/>
          <w:sz w:val="28"/>
          <w:szCs w:val="28"/>
        </w:rPr>
        <w:t>“教学展示”指标考核学科带头人在有效考核期内，在市、区级教育行政部门组织的活动中进行教学展示或获得竞赛课评比奖项（三等奖以上），按每人每次展示或获奖，记1</w:t>
      </w:r>
      <w:r>
        <w:rPr>
          <w:rFonts w:ascii="华文仿宋" w:eastAsia="华文仿宋" w:hAnsi="华文仿宋"/>
          <w:sz w:val="28"/>
          <w:szCs w:val="28"/>
        </w:rPr>
        <w:t>5</w:t>
      </w:r>
      <w:r>
        <w:rPr>
          <w:rFonts w:ascii="华文仿宋" w:eastAsia="华文仿宋" w:hAnsi="华文仿宋" w:hint="eastAsia"/>
          <w:sz w:val="28"/>
          <w:szCs w:val="28"/>
        </w:rPr>
        <w:t>分。</w:t>
      </w:r>
    </w:p>
    <w:p w14:paraId="5EFF05E7"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3.其他专业贡献</w:t>
      </w:r>
    </w:p>
    <w:p w14:paraId="78926647"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“其他专业贡献”指标考核学科带头人在浦东新区学科教研工作中的其他专业贡献情况。具体标准如下：</w:t>
      </w:r>
    </w:p>
    <w:p w14:paraId="236A9932"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（1）经浦东新区教育局备案，浦东教育发展研究院聘任的区兼职教研员，每聘任一学期，记</w:t>
      </w:r>
      <w:r>
        <w:rPr>
          <w:rFonts w:ascii="华文仿宋" w:eastAsia="华文仿宋" w:hAnsi="华文仿宋"/>
          <w:sz w:val="28"/>
          <w:szCs w:val="28"/>
        </w:rPr>
        <w:t>5</w:t>
      </w:r>
      <w:r>
        <w:rPr>
          <w:rFonts w:ascii="华文仿宋" w:eastAsia="华文仿宋" w:hAnsi="华文仿宋" w:hint="eastAsia"/>
          <w:sz w:val="28"/>
          <w:szCs w:val="28"/>
        </w:rPr>
        <w:t>分；</w:t>
      </w:r>
    </w:p>
    <w:p w14:paraId="4B83E01D"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（2）经浦东教育发展研究院遴选与聘任的各教育教学中心组成员，每聘任一学期，记2.5分。</w:t>
      </w:r>
    </w:p>
    <w:p w14:paraId="1D39A748"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（3）参与初三、高三命题工作：每参与1次记10分；</w:t>
      </w:r>
    </w:p>
    <w:p w14:paraId="47D33A77"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（4）主持或参与区域教学质量监测命题等工作的：每次记5分。</w:t>
      </w:r>
    </w:p>
    <w:p w14:paraId="0D76C1BF"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（五）个人学术成果</w:t>
      </w:r>
    </w:p>
    <w:p w14:paraId="1FF3800D"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个人学术成果的考核包括课题、论文和著作三个板块，各板块的得分可以累加。</w:t>
      </w:r>
    </w:p>
    <w:p w14:paraId="5B842705"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1.课题成果</w:t>
      </w:r>
    </w:p>
    <w:p w14:paraId="77D9E2C6"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“课题成果”指标考核学科带头人在有效考核期内主持或参与的市、区级教育行政部门新立项的教育研究课题的情况，该部分仅认定学术质量最高的一份课题成果的得分。具体标准如下：</w:t>
      </w:r>
    </w:p>
    <w:p w14:paraId="7CDDBEB6"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（1）担任市级以上课题主持人的，记25分。</w:t>
      </w:r>
    </w:p>
    <w:p w14:paraId="61EA44D3"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（2）担任区级课题主持人的，记15分。</w:t>
      </w:r>
    </w:p>
    <w:p w14:paraId="735F4477"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（3）担任区级以上课题参与人，且排名前3的，记12分。</w:t>
      </w:r>
    </w:p>
    <w:p w14:paraId="28D28610"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（4）担任区级以上课题参与人，排名在第4及以后的，记7分。</w:t>
      </w:r>
    </w:p>
    <w:p w14:paraId="2F6DDEF8"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2.论文成果</w:t>
      </w:r>
    </w:p>
    <w:p w14:paraId="250F8AB1"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“论文成果”指标考核学科带头人在有效考核期内公开发表的学术论文或取得的论文评比获奖的情况，依据论文的发表级别、获奖级别及质量综合评定。论文的内容须与学科带头人本人的学科专业相一致。</w:t>
      </w:r>
      <w:bookmarkStart w:id="2" w:name="_Hlk10531679"/>
      <w:r>
        <w:rPr>
          <w:rFonts w:ascii="华文仿宋" w:eastAsia="华文仿宋" w:hAnsi="华文仿宋" w:hint="eastAsia"/>
          <w:sz w:val="28"/>
          <w:szCs w:val="28"/>
        </w:rPr>
        <w:t>若同一考核有效期内有多项论文成果的，每份论文成果的考核得分可累计，</w:t>
      </w:r>
      <w:bookmarkEnd w:id="2"/>
      <w:r>
        <w:rPr>
          <w:rFonts w:ascii="华文仿宋" w:eastAsia="华文仿宋" w:hAnsi="华文仿宋" w:hint="eastAsia"/>
          <w:sz w:val="28"/>
          <w:szCs w:val="28"/>
        </w:rPr>
        <w:t>具体标准如下：</w:t>
      </w:r>
    </w:p>
    <w:p w14:paraId="60485D6C"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w:t>
      </w:r>
      <w:r>
        <w:rPr>
          <w:rFonts w:ascii="华文仿宋" w:eastAsia="华文仿宋" w:hAnsi="华文仿宋" w:hint="eastAsia"/>
          <w:sz w:val="28"/>
          <w:szCs w:val="28"/>
        </w:rPr>
        <w:t>）核心刊物上发表的论文（可认定第一作者和第二作者身份发表的），记2</w:t>
      </w:r>
      <w:r>
        <w:rPr>
          <w:rFonts w:ascii="华文仿宋" w:eastAsia="华文仿宋" w:hAnsi="华文仿宋"/>
          <w:sz w:val="28"/>
          <w:szCs w:val="28"/>
        </w:rPr>
        <w:t>5</w:t>
      </w:r>
      <w:r>
        <w:rPr>
          <w:rFonts w:ascii="华文仿宋" w:eastAsia="华文仿宋" w:hAnsi="华文仿宋" w:hint="eastAsia"/>
          <w:sz w:val="28"/>
          <w:szCs w:val="28"/>
        </w:rPr>
        <w:t>分。</w:t>
      </w:r>
    </w:p>
    <w:p w14:paraId="5334F01E"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w:t>
      </w:r>
      <w:r>
        <w:rPr>
          <w:rFonts w:ascii="华文仿宋" w:eastAsia="华文仿宋" w:hAnsi="华文仿宋" w:hint="eastAsia"/>
          <w:sz w:val="28"/>
          <w:szCs w:val="28"/>
        </w:rPr>
        <w:t>）区级及以上刊物（仅认定以第一作者身份在正式刊物公开发表的或含有标准书号的书籍中的论文），依据论文质量，记11～20分。</w:t>
      </w:r>
    </w:p>
    <w:p w14:paraId="30ECA0B7"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w:t>
      </w:r>
      <w:r>
        <w:rPr>
          <w:rFonts w:ascii="华文仿宋" w:eastAsia="华文仿宋" w:hAnsi="华文仿宋" w:hint="eastAsia"/>
          <w:sz w:val="28"/>
          <w:szCs w:val="28"/>
        </w:rPr>
        <w:t>）其他在认定范围内的论文，依据论文质量，记1～10分。</w:t>
      </w:r>
    </w:p>
    <w:p w14:paraId="00DE62F4"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3.著作成果</w:t>
      </w:r>
    </w:p>
    <w:p w14:paraId="6E86CF47"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“著作成果”指标考核学科带头人在有效考核期内以第一、第二作者或主编、副主编、编委身份等公开发表的著作。若同一考核有效期内有多项著作成果的，每份著作成果的考核得分可累计，具体标准如下：</w:t>
      </w:r>
    </w:p>
    <w:p w14:paraId="44CAD02E"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（1）以第一、第二作者身份公开发表的著作，记20～25分。</w:t>
      </w:r>
    </w:p>
    <w:p w14:paraId="33A13D9E"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lastRenderedPageBreak/>
        <w:t>（2）参与教材、教参编写的，记20分。</w:t>
      </w:r>
    </w:p>
    <w:p w14:paraId="4BC5A61F" w14:textId="77777777" w:rsidR="00032046" w:rsidRDefault="00032046" w:rsidP="00032046">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（3）以书籍主编、副主编身份公开发表的著作，记</w:t>
      </w:r>
      <w:r>
        <w:rPr>
          <w:rFonts w:ascii="华文仿宋" w:eastAsia="华文仿宋" w:hAnsi="华文仿宋"/>
          <w:sz w:val="28"/>
          <w:szCs w:val="28"/>
        </w:rPr>
        <w:t>10</w:t>
      </w:r>
      <w:r>
        <w:rPr>
          <w:rFonts w:ascii="华文仿宋" w:eastAsia="华文仿宋" w:hAnsi="华文仿宋" w:hint="eastAsia"/>
          <w:sz w:val="28"/>
          <w:szCs w:val="28"/>
        </w:rPr>
        <w:t>～20分。</w:t>
      </w:r>
    </w:p>
    <w:p w14:paraId="7882D74A" w14:textId="77777777" w:rsidR="00032046" w:rsidRDefault="00032046" w:rsidP="00032046">
      <w:pPr>
        <w:spacing w:line="480" w:lineRule="exact"/>
        <w:ind w:firstLine="560"/>
        <w:rPr>
          <w:rFonts w:ascii="华文仿宋" w:eastAsia="华文仿宋" w:hAnsi="华文仿宋"/>
          <w:sz w:val="28"/>
          <w:szCs w:val="28"/>
        </w:rPr>
      </w:pPr>
      <w:bookmarkStart w:id="3" w:name="_Hlk18502287"/>
      <w:r>
        <w:rPr>
          <w:rFonts w:ascii="华文仿宋" w:eastAsia="华文仿宋" w:hAnsi="华文仿宋" w:hint="eastAsia"/>
          <w:sz w:val="28"/>
          <w:szCs w:val="28"/>
        </w:rPr>
        <w:t>（4）参与书籍撰写，独立完成一章内容的，记1</w:t>
      </w:r>
      <w:r>
        <w:rPr>
          <w:rFonts w:ascii="华文仿宋" w:eastAsia="华文仿宋" w:hAnsi="华文仿宋"/>
          <w:sz w:val="28"/>
          <w:szCs w:val="28"/>
        </w:rPr>
        <w:t>0</w:t>
      </w:r>
      <w:r>
        <w:rPr>
          <w:rFonts w:ascii="华文仿宋" w:eastAsia="华文仿宋" w:hAnsi="华文仿宋" w:hint="eastAsia"/>
          <w:sz w:val="28"/>
          <w:szCs w:val="28"/>
        </w:rPr>
        <w:t>分。</w:t>
      </w:r>
    </w:p>
    <w:bookmarkEnd w:id="3"/>
    <w:p w14:paraId="4E8A1E87" w14:textId="77777777" w:rsidR="00032046" w:rsidRDefault="00032046" w:rsidP="00032046">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（5）以书籍编委身份公开发表的著作，记5分。</w:t>
      </w:r>
    </w:p>
    <w:p w14:paraId="23C20992" w14:textId="77777777" w:rsidR="00032046" w:rsidRDefault="00032046" w:rsidP="00032046">
      <w:pPr>
        <w:spacing w:line="48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三、考核流程</w:t>
      </w:r>
    </w:p>
    <w:p w14:paraId="65F5E86C" w14:textId="77777777" w:rsidR="00032046" w:rsidRDefault="00032046" w:rsidP="00032046">
      <w:pPr>
        <w:spacing w:line="480" w:lineRule="exact"/>
        <w:ind w:firstLineChars="196" w:firstLine="549"/>
        <w:rPr>
          <w:rFonts w:ascii="华文仿宋" w:eastAsia="华文仿宋" w:hAnsi="华文仿宋"/>
          <w:sz w:val="28"/>
          <w:szCs w:val="28"/>
        </w:rPr>
      </w:pPr>
      <w:bookmarkStart w:id="4" w:name="_Hlk166756450"/>
      <w:r>
        <w:rPr>
          <w:rFonts w:ascii="华文仿宋" w:eastAsia="华文仿宋" w:hAnsi="华文仿宋" w:hint="eastAsia"/>
          <w:sz w:val="28"/>
          <w:szCs w:val="28"/>
        </w:rPr>
        <w:t>根据《浦东新区教育系统学科带头人、骨干教师和青年新秀队伍建设的实施意见》（浦教职成〔2019〕2号）精神，在浦东新区教育局领导下开展工作。浦东教育发展研究院具体实施考核工作。具体考核工作步骤为：</w:t>
      </w:r>
    </w:p>
    <w:p w14:paraId="25E274E4"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（1）教发院公布考核细则，布置考核工作；</w:t>
      </w:r>
    </w:p>
    <w:p w14:paraId="7BAB19C1"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（2）各学校召集校内考核小组，完成师德鉴定和校内履职考核并赋分；</w:t>
      </w:r>
    </w:p>
    <w:p w14:paraId="6E07F387"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（3）学科团队领衔人收集本团队学科带头人考核材料，检查整理并赋“学科团队研修活动表现”分后提交教发院；</w:t>
      </w:r>
    </w:p>
    <w:p w14:paraId="421669F8"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4</w:t>
      </w:r>
      <w:r>
        <w:rPr>
          <w:rFonts w:ascii="华文仿宋" w:eastAsia="华文仿宋" w:hAnsi="华文仿宋" w:hint="eastAsia"/>
          <w:sz w:val="28"/>
          <w:szCs w:val="28"/>
        </w:rPr>
        <w:t>）教发院组织考核专家对学科带头人进行考核；</w:t>
      </w:r>
    </w:p>
    <w:p w14:paraId="70EC2688"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5</w:t>
      </w:r>
      <w:r>
        <w:rPr>
          <w:rFonts w:ascii="华文仿宋" w:eastAsia="华文仿宋" w:hAnsi="华文仿宋" w:hint="eastAsia"/>
          <w:sz w:val="28"/>
          <w:szCs w:val="28"/>
        </w:rPr>
        <w:t>）教发院公布学科带头人考核结果，接受成绩复议；</w:t>
      </w:r>
    </w:p>
    <w:p w14:paraId="2E8F2EA3"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6</w:t>
      </w:r>
      <w:r>
        <w:rPr>
          <w:rFonts w:ascii="华文仿宋" w:eastAsia="华文仿宋" w:hAnsi="华文仿宋" w:hint="eastAsia"/>
          <w:sz w:val="28"/>
          <w:szCs w:val="28"/>
        </w:rPr>
        <w:t>）教发院对申请成绩复议的对象再次进行考核；</w:t>
      </w:r>
    </w:p>
    <w:p w14:paraId="45FCE72D"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7</w:t>
      </w:r>
      <w:r>
        <w:rPr>
          <w:rFonts w:ascii="华文仿宋" w:eastAsia="华文仿宋" w:hAnsi="华文仿宋" w:hint="eastAsia"/>
          <w:sz w:val="28"/>
          <w:szCs w:val="28"/>
        </w:rPr>
        <w:t>）教发院确定最终成绩，上报教育局审定。</w:t>
      </w:r>
    </w:p>
    <w:bookmarkEnd w:id="4"/>
    <w:p w14:paraId="123D7986" w14:textId="77777777" w:rsidR="00032046" w:rsidRDefault="00032046" w:rsidP="00032046">
      <w:pPr>
        <w:spacing w:line="480" w:lineRule="exact"/>
        <w:ind w:firstLineChars="196" w:firstLine="549"/>
        <w:rPr>
          <w:rFonts w:ascii="华文仿宋" w:eastAsia="华文仿宋" w:hAnsi="华文仿宋"/>
          <w:sz w:val="28"/>
          <w:szCs w:val="28"/>
        </w:rPr>
      </w:pPr>
      <w:r>
        <w:rPr>
          <w:rFonts w:ascii="华文仿宋" w:eastAsia="华文仿宋" w:hAnsi="华文仿宋" w:hint="eastAsia"/>
          <w:b/>
          <w:sz w:val="28"/>
          <w:szCs w:val="28"/>
        </w:rPr>
        <w:t>四、其他规定</w:t>
      </w:r>
    </w:p>
    <w:p w14:paraId="5B6BCACB"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w:t>
      </w:r>
      <w:r>
        <w:rPr>
          <w:rFonts w:ascii="华文仿宋" w:eastAsia="华文仿宋" w:hAnsi="华文仿宋" w:hint="eastAsia"/>
          <w:sz w:val="28"/>
          <w:szCs w:val="28"/>
        </w:rPr>
        <w:t xml:space="preserve"> 受疫情等不可抗拒因素的影响，本轮（2</w:t>
      </w:r>
      <w:r>
        <w:rPr>
          <w:rFonts w:ascii="华文仿宋" w:eastAsia="华文仿宋" w:hAnsi="华文仿宋"/>
          <w:sz w:val="28"/>
          <w:szCs w:val="28"/>
        </w:rPr>
        <w:t>021-2023</w:t>
      </w:r>
      <w:r>
        <w:rPr>
          <w:rFonts w:ascii="华文仿宋" w:eastAsia="华文仿宋" w:hAnsi="华文仿宋" w:hint="eastAsia"/>
          <w:sz w:val="28"/>
          <w:szCs w:val="28"/>
        </w:rPr>
        <w:t>学年任期）进行一次期末考核。期末考核分值为本轮任期考核成绩。任期考核成绩72～89分为基本合格、</w:t>
      </w:r>
      <w:r>
        <w:rPr>
          <w:rFonts w:ascii="华文仿宋" w:eastAsia="华文仿宋" w:hAnsi="华文仿宋"/>
          <w:sz w:val="28"/>
          <w:szCs w:val="28"/>
        </w:rPr>
        <w:t>9</w:t>
      </w:r>
      <w:r>
        <w:rPr>
          <w:rFonts w:ascii="华文仿宋" w:eastAsia="华文仿宋" w:hAnsi="华文仿宋" w:hint="eastAsia"/>
          <w:sz w:val="28"/>
          <w:szCs w:val="28"/>
        </w:rPr>
        <w:t>0～</w:t>
      </w:r>
      <w:r>
        <w:rPr>
          <w:rFonts w:ascii="华文仿宋" w:eastAsia="华文仿宋" w:hAnsi="华文仿宋"/>
          <w:sz w:val="28"/>
          <w:szCs w:val="28"/>
        </w:rPr>
        <w:t>1</w:t>
      </w:r>
      <w:r>
        <w:rPr>
          <w:rFonts w:ascii="华文仿宋" w:eastAsia="华文仿宋" w:hAnsi="华文仿宋" w:hint="eastAsia"/>
          <w:sz w:val="28"/>
          <w:szCs w:val="28"/>
        </w:rPr>
        <w:t>01分为合格、102～</w:t>
      </w:r>
      <w:r>
        <w:rPr>
          <w:rFonts w:ascii="华文仿宋" w:eastAsia="华文仿宋" w:hAnsi="华文仿宋"/>
          <w:sz w:val="28"/>
          <w:szCs w:val="28"/>
        </w:rPr>
        <w:t>1</w:t>
      </w:r>
      <w:r>
        <w:rPr>
          <w:rFonts w:ascii="华文仿宋" w:eastAsia="华文仿宋" w:hAnsi="华文仿宋" w:hint="eastAsia"/>
          <w:sz w:val="28"/>
          <w:szCs w:val="28"/>
        </w:rPr>
        <w:t>2</w:t>
      </w:r>
      <w:r>
        <w:rPr>
          <w:rFonts w:ascii="华文仿宋" w:eastAsia="华文仿宋" w:hAnsi="华文仿宋"/>
          <w:sz w:val="28"/>
          <w:szCs w:val="28"/>
        </w:rPr>
        <w:t>0</w:t>
      </w:r>
      <w:r>
        <w:rPr>
          <w:rFonts w:ascii="华文仿宋" w:eastAsia="华文仿宋" w:hAnsi="华文仿宋" w:hint="eastAsia"/>
          <w:sz w:val="28"/>
          <w:szCs w:val="28"/>
        </w:rPr>
        <w:t>分为优秀。</w:t>
      </w:r>
    </w:p>
    <w:p w14:paraId="514FA1AA"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 任期考核结果为不合格的（低于</w:t>
      </w:r>
      <w:r>
        <w:rPr>
          <w:rFonts w:ascii="华文仿宋" w:eastAsia="华文仿宋" w:hAnsi="华文仿宋"/>
          <w:sz w:val="28"/>
          <w:szCs w:val="28"/>
        </w:rPr>
        <w:t>7</w:t>
      </w:r>
      <w:r>
        <w:rPr>
          <w:rFonts w:ascii="华文仿宋" w:eastAsia="华文仿宋" w:hAnsi="华文仿宋" w:hint="eastAsia"/>
          <w:sz w:val="28"/>
          <w:szCs w:val="28"/>
        </w:rPr>
        <w:t>2分），取消其下一轮学科带头人的申报资格。</w:t>
      </w:r>
      <w:bookmarkStart w:id="5" w:name="_Hlk165990961"/>
    </w:p>
    <w:p w14:paraId="76F9E161"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 任期内已被评选为上海市特级教师、正高级教师的，不参加考核，考核结果为“荣誉职称晋升”。</w:t>
      </w:r>
    </w:p>
    <w:p w14:paraId="6B483248"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4. 产假、重病假情况连续6个月以上的学科带头人可选择是否参加考核，如参加考核则按实际考核成绩计入考核结果，如不参加考</w:t>
      </w:r>
      <w:r>
        <w:rPr>
          <w:rFonts w:ascii="华文仿宋" w:eastAsia="华文仿宋" w:hAnsi="华文仿宋" w:hint="eastAsia"/>
          <w:sz w:val="28"/>
          <w:szCs w:val="28"/>
        </w:rPr>
        <w:lastRenderedPageBreak/>
        <w:t>核则结果为“未考核”。</w:t>
      </w:r>
    </w:p>
    <w:p w14:paraId="4BBDF1A9"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5. 任期内退休、离职的学科带头人，不参加考核，考核结果为“未考核”。</w:t>
      </w:r>
    </w:p>
    <w:p w14:paraId="50ECC3D3" w14:textId="77777777" w:rsidR="00032046" w:rsidRDefault="00032046" w:rsidP="00032046">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6. 任期内参加援藏、援疆、援滇等对口支援超过一学期以上的，可选择是否参加考核，按实际考核成绩计入考核结果，不参加考核的，考核结果为“合格”。</w:t>
      </w:r>
    </w:p>
    <w:p w14:paraId="262150EB" w14:textId="77777777" w:rsidR="00032046" w:rsidRDefault="00032046" w:rsidP="00032046">
      <w:pPr>
        <w:spacing w:line="480" w:lineRule="exact"/>
        <w:ind w:firstLineChars="200" w:firstLine="560"/>
        <w:rPr>
          <w:rFonts w:ascii="华文仿宋" w:eastAsia="华文仿宋" w:hAnsi="华文仿宋"/>
          <w:sz w:val="28"/>
          <w:szCs w:val="28"/>
        </w:rPr>
      </w:pPr>
      <w:bookmarkStart w:id="6" w:name="_Hlk164261424"/>
      <w:r>
        <w:rPr>
          <w:rFonts w:ascii="华文仿宋" w:eastAsia="华文仿宋" w:hAnsi="华文仿宋" w:hint="eastAsia"/>
          <w:sz w:val="28"/>
          <w:szCs w:val="28"/>
        </w:rPr>
        <w:t>7. 本考核细则经教育局同意后实施，原考核细则自动废止。如有新的上级规定，按新规定执行。</w:t>
      </w:r>
      <w:bookmarkEnd w:id="5"/>
      <w:bookmarkEnd w:id="6"/>
    </w:p>
    <w:p w14:paraId="672A03FC" w14:textId="05C4FA65" w:rsidR="00032046" w:rsidRDefault="00032046" w:rsidP="00032046">
      <w:pPr>
        <w:widowControl/>
        <w:jc w:val="left"/>
        <w:rPr>
          <w:rFonts w:ascii="华文仿宋" w:eastAsia="华文仿宋" w:hAnsi="华文仿宋"/>
          <w:sz w:val="28"/>
          <w:szCs w:val="28"/>
        </w:rPr>
      </w:pPr>
    </w:p>
    <w:sectPr w:rsidR="00032046" w:rsidSect="00032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530A1" w14:textId="77777777" w:rsidR="00FB3935" w:rsidRDefault="00FB3935" w:rsidP="00032046">
      <w:r>
        <w:separator/>
      </w:r>
    </w:p>
  </w:endnote>
  <w:endnote w:type="continuationSeparator" w:id="0">
    <w:p w14:paraId="3C4A4670" w14:textId="77777777" w:rsidR="00FB3935" w:rsidRDefault="00FB3935" w:rsidP="000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A0D9F" w14:textId="77777777" w:rsidR="00FB3935" w:rsidRDefault="00FB3935" w:rsidP="00032046">
      <w:r>
        <w:separator/>
      </w:r>
    </w:p>
  </w:footnote>
  <w:footnote w:type="continuationSeparator" w:id="0">
    <w:p w14:paraId="2DEAFF35" w14:textId="77777777" w:rsidR="00FB3935" w:rsidRDefault="00FB3935" w:rsidP="00032046">
      <w:r>
        <w:continuationSeparator/>
      </w:r>
    </w:p>
  </w:footnote>
  <w:footnote w:id="1">
    <w:p w14:paraId="5DE22049" w14:textId="77777777" w:rsidR="00032046" w:rsidRDefault="00032046" w:rsidP="00032046">
      <w:pPr>
        <w:pStyle w:val="a3"/>
      </w:pPr>
      <w:r>
        <w:rPr>
          <w:rStyle w:val="a5"/>
        </w:rPr>
        <w:footnoteRef/>
      </w:r>
      <w:r>
        <w:rPr>
          <w:rFonts w:hint="eastAsia"/>
        </w:rPr>
        <w:t>培训课程得分若超过</w:t>
      </w:r>
      <w:r>
        <w:rPr>
          <w:rFonts w:hint="eastAsia"/>
        </w:rPr>
        <w:t>2</w:t>
      </w:r>
      <w:r>
        <w:t>0</w:t>
      </w:r>
      <w:r>
        <w:rPr>
          <w:rFonts w:hint="eastAsia"/>
        </w:rPr>
        <w:t>分，多余分数可抵充区域专业贡献分和个人学术成果分。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46"/>
    <w:rsid w:val="00032046"/>
    <w:rsid w:val="00374B6E"/>
    <w:rsid w:val="00A0599C"/>
    <w:rsid w:val="00A850BC"/>
    <w:rsid w:val="00DA3C96"/>
    <w:rsid w:val="00FB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AEEB"/>
  <w15:chartTrackingRefBased/>
  <w15:docId w15:val="{31A56AE0-FD7F-4B59-929B-86E2110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046"/>
    <w:pPr>
      <w:widowControl w:val="0"/>
      <w:spacing w:after="0" w:line="240" w:lineRule="auto"/>
      <w:jc w:val="both"/>
    </w:pPr>
    <w:rPr>
      <w:rFonts w:ascii="Times New Roman" w:eastAsia="宋体" w:hAnsi="Times New Roman"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qFormat/>
    <w:rsid w:val="00032046"/>
    <w:pPr>
      <w:snapToGrid w:val="0"/>
      <w:jc w:val="left"/>
    </w:pPr>
    <w:rPr>
      <w:sz w:val="18"/>
      <w:szCs w:val="18"/>
    </w:rPr>
  </w:style>
  <w:style w:type="character" w:customStyle="1" w:styleId="a4">
    <w:name w:val="脚注文本 字符"/>
    <w:basedOn w:val="a0"/>
    <w:link w:val="a3"/>
    <w:qFormat/>
    <w:rsid w:val="00032046"/>
    <w:rPr>
      <w:rFonts w:ascii="Times New Roman" w:eastAsia="宋体" w:hAnsi="Times New Roman" w:cs="Times New Roman"/>
      <w:sz w:val="18"/>
      <w:szCs w:val="18"/>
      <w14:ligatures w14:val="none"/>
    </w:rPr>
  </w:style>
  <w:style w:type="character" w:styleId="a5">
    <w:name w:val="footnote reference"/>
    <w:autoRedefine/>
    <w:qFormat/>
    <w:rsid w:val="00032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glaptop</dc:creator>
  <cp:keywords/>
  <dc:description/>
  <cp:lastModifiedBy>glaptop</cp:lastModifiedBy>
  <cp:revision>2</cp:revision>
  <dcterms:created xsi:type="dcterms:W3CDTF">2024-05-28T02:39:00Z</dcterms:created>
  <dcterms:modified xsi:type="dcterms:W3CDTF">2024-06-04T01:46:00Z</dcterms:modified>
</cp:coreProperties>
</file>