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A39CC" w14:textId="21FAEE2E" w:rsidR="00B96BE5" w:rsidRPr="00B96BE5" w:rsidRDefault="00B96BE5" w:rsidP="00B96BE5">
      <w:pPr>
        <w:pStyle w:val="a5"/>
        <w:ind w:firstLine="397"/>
        <w:jc w:val="center"/>
        <w:rPr>
          <w:rFonts w:ascii="方正楷体简体" w:eastAsia="方正楷体简体" w:cs="方正楷体简体"/>
          <w:color w:val="595959" w:themeColor="text1" w:themeTint="A6"/>
          <w:sz w:val="32"/>
          <w:szCs w:val="32"/>
        </w:rPr>
      </w:pPr>
      <w:r w:rsidRPr="00B96BE5">
        <w:rPr>
          <w:rFonts w:ascii="方正楷体简体" w:eastAsia="方正楷体简体" w:cs="方正楷体简体"/>
          <w:color w:val="595959" w:themeColor="text1" w:themeTint="A6"/>
          <w:sz w:val="32"/>
          <w:szCs w:val="32"/>
        </w:rPr>
        <w:t>2021</w:t>
      </w:r>
      <w:r w:rsidRPr="00B96BE5">
        <w:rPr>
          <w:rFonts w:ascii="方正楷体简体" w:eastAsia="方正楷体简体" w:cs="方正楷体简体" w:hint="eastAsia"/>
          <w:color w:val="595959" w:themeColor="text1" w:themeTint="A6"/>
          <w:sz w:val="32"/>
          <w:szCs w:val="32"/>
        </w:rPr>
        <w:t>年“黄浦杯”长三角城市群“教育的活力”征文启事</w:t>
      </w:r>
    </w:p>
    <w:p w14:paraId="1E7C530B" w14:textId="32901D19" w:rsidR="00B96BE5"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教育活力是教育研究的永恒主题，是近年来教育改革的热点难点。为进一步探讨和总结增强教育活力的理念和经验，《上海教育科研》编辑部、上海市教科院普教所、上海市黄浦区教育局以及长三角城市群教育科研协作共同体联合举办</w:t>
      </w:r>
      <w:r w:rsidRPr="0079646F">
        <w:rPr>
          <w:rFonts w:ascii="方正楷体简体" w:eastAsia="方正楷体简体" w:cs="方正楷体简体"/>
          <w:sz w:val="21"/>
          <w:szCs w:val="21"/>
        </w:rPr>
        <w:t>2021</w:t>
      </w:r>
      <w:r w:rsidRPr="0079646F">
        <w:rPr>
          <w:rFonts w:ascii="方正楷体简体" w:eastAsia="方正楷体简体" w:cs="方正楷体简体" w:hint="eastAsia"/>
          <w:sz w:val="21"/>
          <w:szCs w:val="21"/>
        </w:rPr>
        <w:t>年“黄浦杯”长三角城市群“教育的活力”征文活动，欢迎广大教师、校长、教科研人员、教育行政人员和高校师生参加。</w:t>
      </w:r>
    </w:p>
    <w:p w14:paraId="4A58AF10" w14:textId="77777777" w:rsidR="0079646F" w:rsidRPr="00B96BE5" w:rsidRDefault="0079646F" w:rsidP="00B96BE5">
      <w:pPr>
        <w:pStyle w:val="a5"/>
        <w:spacing w:line="360" w:lineRule="exact"/>
        <w:ind w:firstLine="397"/>
        <w:rPr>
          <w:rFonts w:ascii="方正黑体简体" w:eastAsia="方正黑体简体" w:cs="方正黑体简体"/>
          <w:sz w:val="28"/>
          <w:szCs w:val="28"/>
        </w:rPr>
      </w:pPr>
      <w:r w:rsidRPr="00B96BE5">
        <w:rPr>
          <w:rFonts w:ascii="方正黑体简体" w:eastAsia="方正黑体简体" w:cs="方正黑体简体" w:hint="eastAsia"/>
          <w:sz w:val="28"/>
          <w:szCs w:val="28"/>
        </w:rPr>
        <w:t>主题阐释</w:t>
      </w:r>
    </w:p>
    <w:p w14:paraId="3ABF41F8" w14:textId="5DB91F5F" w:rsidR="00B96BE5"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活力是机体或组织健康运行的表征和动力。教育活力可以表现为</w:t>
      </w:r>
      <w:r w:rsidRPr="0079646F">
        <w:rPr>
          <w:rFonts w:ascii="方正楷体简体" w:eastAsia="方正楷体简体" w:cs="方正楷体简体" w:hint="eastAsia"/>
          <w:color w:val="113D96"/>
          <w:sz w:val="21"/>
          <w:szCs w:val="21"/>
        </w:rPr>
        <w:t>一种教育教学的新思维、新实践、新机制、新突破，一种主体性和能动性的释放。</w:t>
      </w:r>
      <w:r w:rsidRPr="0079646F">
        <w:rPr>
          <w:rFonts w:ascii="方正楷体简体" w:eastAsia="方正楷体简体" w:cs="方正楷体简体" w:hint="eastAsia"/>
          <w:sz w:val="21"/>
          <w:szCs w:val="21"/>
        </w:rPr>
        <w:t>主体、视角、领域不同，增进教育活力的观念和实践可能就有所不同。可以围绕“教育的活力”主题，结合自身的工作、学习和生活经历，介绍自己对激发和增进教育活力的认识和实践。</w:t>
      </w:r>
    </w:p>
    <w:p w14:paraId="1EF4CA4A" w14:textId="77777777" w:rsidR="0079646F" w:rsidRPr="00B96BE5" w:rsidRDefault="0079646F" w:rsidP="00B96BE5">
      <w:pPr>
        <w:pStyle w:val="a5"/>
        <w:spacing w:line="360" w:lineRule="exact"/>
        <w:ind w:firstLine="397"/>
        <w:rPr>
          <w:rFonts w:ascii="方正黑体简体" w:eastAsia="方正黑体简体" w:cs="方正黑体简体"/>
          <w:sz w:val="28"/>
          <w:szCs w:val="28"/>
        </w:rPr>
      </w:pPr>
      <w:r w:rsidRPr="00B96BE5">
        <w:rPr>
          <w:rFonts w:ascii="方正黑体简体" w:eastAsia="方正黑体简体" w:cs="方正黑体简体" w:hint="eastAsia"/>
          <w:sz w:val="28"/>
          <w:szCs w:val="28"/>
        </w:rPr>
        <w:t>选材范围</w:t>
      </w:r>
    </w:p>
    <w:p w14:paraId="30012CA9" w14:textId="77777777" w:rsidR="0079646F"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w:t>
      </w:r>
      <w:r w:rsidRPr="0079646F">
        <w:rPr>
          <w:rFonts w:ascii="方正楷体简体" w:eastAsia="方正楷体简体" w:cs="方正楷体简体" w:hint="eastAsia"/>
          <w:color w:val="113D96"/>
          <w:sz w:val="21"/>
          <w:szCs w:val="21"/>
        </w:rPr>
        <w:t>理论或观念的探讨。</w:t>
      </w:r>
      <w:r w:rsidRPr="0079646F">
        <w:rPr>
          <w:rFonts w:ascii="方正楷体简体" w:eastAsia="方正楷体简体" w:cs="方正楷体简体" w:hint="eastAsia"/>
          <w:sz w:val="21"/>
          <w:szCs w:val="21"/>
        </w:rPr>
        <w:t>从理论渊源或观念生成的路径出发，基于当下的教育教学现状，探讨教育活力的理论进展与认识突破。</w:t>
      </w:r>
    </w:p>
    <w:p w14:paraId="381B1694" w14:textId="77777777" w:rsidR="0079646F"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w:t>
      </w:r>
      <w:r w:rsidRPr="0079646F">
        <w:rPr>
          <w:rFonts w:ascii="方正楷体简体" w:eastAsia="方正楷体简体" w:cs="方正楷体简体" w:hint="eastAsia"/>
          <w:color w:val="113D96"/>
          <w:sz w:val="21"/>
          <w:szCs w:val="21"/>
        </w:rPr>
        <w:t>管理与评价。</w:t>
      </w:r>
      <w:r w:rsidRPr="0079646F">
        <w:rPr>
          <w:rFonts w:ascii="方正楷体简体" w:eastAsia="方正楷体简体" w:cs="方正楷体简体" w:hint="eastAsia"/>
          <w:sz w:val="21"/>
          <w:szCs w:val="21"/>
        </w:rPr>
        <w:t>包括增进学校办学活力的政策机制研究、学校内部管理改革，对区域、学校、教师和学生的过程性评价、结果性评价、增值评价和综合评价等。</w:t>
      </w:r>
    </w:p>
    <w:p w14:paraId="023DF4AD" w14:textId="77777777" w:rsidR="0079646F"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w:t>
      </w:r>
      <w:r w:rsidRPr="0079646F">
        <w:rPr>
          <w:rFonts w:ascii="方正楷体简体" w:eastAsia="方正楷体简体" w:cs="方正楷体简体" w:hint="eastAsia"/>
          <w:color w:val="113D96"/>
          <w:sz w:val="21"/>
          <w:szCs w:val="21"/>
        </w:rPr>
        <w:t>课程与教学。</w:t>
      </w:r>
      <w:r w:rsidRPr="0079646F">
        <w:rPr>
          <w:rFonts w:ascii="方正楷体简体" w:eastAsia="方正楷体简体" w:cs="方正楷体简体" w:hint="eastAsia"/>
          <w:sz w:val="21"/>
          <w:szCs w:val="21"/>
        </w:rPr>
        <w:t>包括课程的创新性建构、教学实践的再造与突破、课堂范式与流程重建、活动或实践的创新设计等。</w:t>
      </w:r>
    </w:p>
    <w:p w14:paraId="1DE03A36" w14:textId="77777777" w:rsidR="0079646F"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w:t>
      </w:r>
      <w:r w:rsidRPr="0079646F">
        <w:rPr>
          <w:rFonts w:ascii="方正楷体简体" w:eastAsia="方正楷体简体" w:cs="方正楷体简体" w:hint="eastAsia"/>
          <w:color w:val="113D96"/>
          <w:sz w:val="21"/>
          <w:szCs w:val="21"/>
        </w:rPr>
        <w:t>教师专业发展。</w:t>
      </w:r>
      <w:r w:rsidRPr="0079646F">
        <w:rPr>
          <w:rFonts w:ascii="方正楷体简体" w:eastAsia="方正楷体简体" w:cs="方正楷体简体" w:hint="eastAsia"/>
          <w:sz w:val="21"/>
          <w:szCs w:val="21"/>
        </w:rPr>
        <w:t>包括教师专业发展实践的创新，</w:t>
      </w:r>
      <w:proofErr w:type="gramStart"/>
      <w:r w:rsidRPr="0079646F">
        <w:rPr>
          <w:rFonts w:ascii="方正楷体简体" w:eastAsia="方正楷体简体" w:cs="方正楷体简体" w:hint="eastAsia"/>
          <w:sz w:val="21"/>
          <w:szCs w:val="21"/>
        </w:rPr>
        <w:t>如对课例</w:t>
      </w:r>
      <w:proofErr w:type="gramEnd"/>
      <w:r w:rsidRPr="0079646F">
        <w:rPr>
          <w:rFonts w:ascii="方正楷体简体" w:eastAsia="方正楷体简体" w:cs="方正楷体简体" w:hint="eastAsia"/>
          <w:sz w:val="21"/>
          <w:szCs w:val="21"/>
        </w:rPr>
        <w:t>研究、共同体学习、读书会、名师工作室等载体的创造性运作，也包括对备课组、教研组、集中培训等机制的变革应用，教师区域、校际流动的经验等。</w:t>
      </w:r>
      <w:r w:rsidRPr="0079646F">
        <w:rPr>
          <w:rFonts w:ascii="方正楷体简体" w:eastAsia="方正楷体简体" w:cs="方正楷体简体"/>
          <w:sz w:val="21"/>
          <w:szCs w:val="21"/>
        </w:rPr>
        <w:t xml:space="preserve"> </w:t>
      </w:r>
    </w:p>
    <w:p w14:paraId="397393D4" w14:textId="21F570CE" w:rsidR="00B96BE5" w:rsidRPr="0079646F" w:rsidRDefault="0079646F" w:rsidP="000C2EBF">
      <w:pPr>
        <w:spacing w:line="360" w:lineRule="exact"/>
        <w:ind w:firstLineChars="200" w:firstLine="420"/>
        <w:rPr>
          <w:rFonts w:ascii="方正楷体简体" w:eastAsia="方正楷体简体" w:cs="方正楷体简体"/>
          <w:szCs w:val="21"/>
        </w:rPr>
      </w:pPr>
      <w:bookmarkStart w:id="0" w:name="_GoBack"/>
      <w:bookmarkEnd w:id="0"/>
      <w:r w:rsidRPr="0079646F">
        <w:rPr>
          <w:rFonts w:ascii="方正楷体简体" w:eastAsia="方正楷体简体" w:cs="方正楷体简体" w:hint="eastAsia"/>
          <w:szCs w:val="21"/>
        </w:rPr>
        <w:t>——</w:t>
      </w:r>
      <w:r w:rsidRPr="0079646F">
        <w:rPr>
          <w:rFonts w:ascii="方正楷体简体" w:eastAsia="方正楷体简体" w:cs="方正楷体简体" w:hint="eastAsia"/>
          <w:color w:val="113D96"/>
          <w:szCs w:val="21"/>
        </w:rPr>
        <w:t>学生成长指导。</w:t>
      </w:r>
      <w:r w:rsidRPr="0079646F">
        <w:rPr>
          <w:rFonts w:ascii="方正楷体简体" w:eastAsia="方正楷体简体" w:cs="方正楷体简体" w:hint="eastAsia"/>
          <w:szCs w:val="21"/>
        </w:rPr>
        <w:t>包括班主任、学科教师、学校管理者在立德树人、五育融合过程中激发学生活力和自主成长的新实践或新案例。</w:t>
      </w:r>
    </w:p>
    <w:p w14:paraId="4F26B8CE" w14:textId="77777777" w:rsidR="0079646F" w:rsidRPr="00B96BE5" w:rsidRDefault="0079646F" w:rsidP="00B96BE5">
      <w:pPr>
        <w:pStyle w:val="a5"/>
        <w:spacing w:line="360" w:lineRule="exact"/>
        <w:ind w:firstLine="397"/>
        <w:rPr>
          <w:rFonts w:ascii="方正楷体简体" w:eastAsia="方正楷体简体" w:cs="方正楷体简体"/>
          <w:sz w:val="28"/>
          <w:szCs w:val="28"/>
        </w:rPr>
      </w:pPr>
      <w:r w:rsidRPr="00B96BE5">
        <w:rPr>
          <w:rFonts w:ascii="方正黑体简体" w:eastAsia="方正黑体简体" w:cs="方正黑体简体" w:hint="eastAsia"/>
          <w:sz w:val="28"/>
          <w:szCs w:val="28"/>
        </w:rPr>
        <w:t>注意事项</w:t>
      </w:r>
      <w:r w:rsidRPr="00B96BE5">
        <w:rPr>
          <w:rFonts w:ascii="方正楷体简体" w:eastAsia="方正楷体简体" w:cs="方正楷体简体"/>
          <w:sz w:val="28"/>
          <w:szCs w:val="28"/>
        </w:rPr>
        <w:t xml:space="preserve"> </w:t>
      </w:r>
    </w:p>
    <w:p w14:paraId="1B8C9626" w14:textId="77777777" w:rsidR="0079646F"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sz w:val="21"/>
          <w:szCs w:val="21"/>
        </w:rPr>
        <w:t>1.</w:t>
      </w:r>
      <w:r w:rsidRPr="0079646F">
        <w:rPr>
          <w:rFonts w:ascii="方正楷体简体" w:eastAsia="方正楷体简体" w:cs="方正楷体简体" w:hint="eastAsia"/>
          <w:sz w:val="21"/>
          <w:szCs w:val="21"/>
        </w:rPr>
        <w:t>文体。文体不拘，可以是学术论文、调研报告、叙事性案例、经验总结等各种表述形式。</w:t>
      </w:r>
    </w:p>
    <w:p w14:paraId="7B68E513" w14:textId="00CC3B4C" w:rsidR="0079646F"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sz w:val="21"/>
          <w:szCs w:val="21"/>
        </w:rPr>
        <w:t>2.</w:t>
      </w:r>
      <w:r w:rsidRPr="0079646F">
        <w:rPr>
          <w:rFonts w:ascii="方正楷体简体" w:eastAsia="方正楷体简体" w:cs="方正楷体简体" w:hint="eastAsia"/>
          <w:sz w:val="21"/>
          <w:szCs w:val="21"/>
        </w:rPr>
        <w:t>篇幅。一般以</w:t>
      </w:r>
      <w:r w:rsidRPr="0079646F">
        <w:rPr>
          <w:rFonts w:ascii="方正楷体简体" w:eastAsia="方正楷体简体" w:cs="方正楷体简体"/>
          <w:sz w:val="21"/>
          <w:szCs w:val="21"/>
        </w:rPr>
        <w:t>5000</w:t>
      </w:r>
      <w:r w:rsidRPr="0079646F">
        <w:rPr>
          <w:rFonts w:ascii="方正楷体简体" w:eastAsia="方正楷体简体" w:cs="方正楷体简体" w:hint="eastAsia"/>
          <w:sz w:val="21"/>
          <w:szCs w:val="21"/>
        </w:rPr>
        <w:t>字左右为宜，未在省市级以上报刊杂志上公开发表。</w:t>
      </w:r>
      <w:r w:rsidR="00B96BE5">
        <w:rPr>
          <w:rFonts w:ascii="方正楷体简体" w:eastAsia="方正楷体简体" w:cs="方正楷体简体" w:hint="eastAsia"/>
          <w:sz w:val="21"/>
          <w:szCs w:val="21"/>
        </w:rPr>
        <w:t>严禁</w:t>
      </w:r>
      <w:r w:rsidRPr="0079646F">
        <w:rPr>
          <w:rFonts w:ascii="方正楷体简体" w:eastAsia="方正楷体简体" w:cs="方正楷体简体" w:hint="eastAsia"/>
          <w:sz w:val="21"/>
          <w:szCs w:val="21"/>
        </w:rPr>
        <w:t>抄袭。</w:t>
      </w:r>
    </w:p>
    <w:p w14:paraId="02290FBA" w14:textId="77777777" w:rsidR="0079646F"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sz w:val="21"/>
          <w:szCs w:val="21"/>
        </w:rPr>
        <w:t>3.</w:t>
      </w:r>
      <w:r w:rsidRPr="0079646F">
        <w:rPr>
          <w:rFonts w:ascii="方正楷体简体" w:eastAsia="方正楷体简体" w:cs="方正楷体简体" w:hint="eastAsia"/>
          <w:sz w:val="21"/>
          <w:szCs w:val="21"/>
        </w:rPr>
        <w:t>参评对象。</w:t>
      </w:r>
    </w:p>
    <w:p w14:paraId="7C4D15ED" w14:textId="237181A6" w:rsidR="0079646F" w:rsidRPr="0079646F" w:rsidRDefault="00B96BE5" w:rsidP="00B96BE5">
      <w:pPr>
        <w:pStyle w:val="a5"/>
        <w:spacing w:line="360" w:lineRule="exact"/>
        <w:ind w:firstLine="397"/>
        <w:rPr>
          <w:rFonts w:ascii="方正楷体简体" w:eastAsia="方正楷体简体" w:cs="方正楷体简体"/>
          <w:sz w:val="21"/>
          <w:szCs w:val="21"/>
        </w:rPr>
      </w:pPr>
      <w:r>
        <w:rPr>
          <w:rFonts w:ascii="方正楷体简体" w:eastAsia="方正楷体简体" w:cs="方正楷体简体" w:hint="eastAsia"/>
          <w:sz w:val="21"/>
          <w:szCs w:val="21"/>
        </w:rPr>
        <w:t>（1）</w:t>
      </w:r>
      <w:r w:rsidR="0079646F" w:rsidRPr="0079646F">
        <w:rPr>
          <w:rFonts w:ascii="方正楷体简体" w:eastAsia="方正楷体简体" w:cs="方正楷体简体" w:hint="eastAsia"/>
          <w:sz w:val="21"/>
          <w:szCs w:val="21"/>
        </w:rPr>
        <w:t>中小幼校（园）长与教师、教科研人员，以参加当地教科研部门组织的征文活动为主（请关注当地教科研部门的活动通知）。</w:t>
      </w:r>
    </w:p>
    <w:p w14:paraId="5D08F031" w14:textId="48895321" w:rsidR="0079646F" w:rsidRPr="0079646F" w:rsidRDefault="00B96BE5" w:rsidP="00B96BE5">
      <w:pPr>
        <w:spacing w:line="360" w:lineRule="exact"/>
        <w:ind w:firstLineChars="200" w:firstLine="420"/>
        <w:rPr>
          <w:rFonts w:ascii="方正楷体简体" w:eastAsia="方正楷体简体" w:cs="方正楷体简体"/>
          <w:szCs w:val="21"/>
        </w:rPr>
      </w:pPr>
      <w:r>
        <w:rPr>
          <w:rFonts w:ascii="方正楷体简体" w:eastAsia="方正楷体简体" w:cs="方正楷体简体" w:hint="eastAsia"/>
          <w:szCs w:val="21"/>
        </w:rPr>
        <w:t>（2）</w:t>
      </w:r>
      <w:r w:rsidR="0079646F" w:rsidRPr="0079646F">
        <w:rPr>
          <w:rFonts w:ascii="方正楷体简体" w:eastAsia="方正楷体简体" w:cs="方正楷体简体" w:hint="eastAsia"/>
          <w:szCs w:val="21"/>
        </w:rPr>
        <w:t>高校师生：自由来稿为主。投稿细则请关注“上海教育科研”公众号</w:t>
      </w:r>
      <w:r>
        <w:rPr>
          <w:rFonts w:ascii="方正楷体简体" w:eastAsia="方正楷体简体" w:cs="方正楷体简体" w:hint="eastAsia"/>
          <w:szCs w:val="21"/>
        </w:rPr>
        <w:t>届时</w:t>
      </w:r>
      <w:r w:rsidR="0079646F" w:rsidRPr="0079646F">
        <w:rPr>
          <w:rFonts w:ascii="方正楷体简体" w:eastAsia="方正楷体简体" w:cs="方正楷体简体" w:hint="eastAsia"/>
          <w:szCs w:val="21"/>
        </w:rPr>
        <w:t>发布的信息。</w:t>
      </w:r>
    </w:p>
    <w:p w14:paraId="3AF37CFD" w14:textId="58FDF3C1" w:rsidR="0079646F" w:rsidRPr="0079646F" w:rsidRDefault="00B96BE5" w:rsidP="00B96BE5">
      <w:pPr>
        <w:pStyle w:val="a5"/>
        <w:spacing w:line="360" w:lineRule="exact"/>
        <w:ind w:firstLine="397"/>
        <w:rPr>
          <w:rFonts w:ascii="方正楷体简体" w:eastAsia="方正楷体简体" w:cs="方正楷体简体"/>
          <w:sz w:val="21"/>
          <w:szCs w:val="21"/>
        </w:rPr>
      </w:pPr>
      <w:r>
        <w:rPr>
          <w:rFonts w:ascii="方正楷体简体" w:eastAsia="方正楷体简体" w:cs="方正楷体简体"/>
          <w:sz w:val="21"/>
          <w:szCs w:val="21"/>
          <w:lang w:val="en-US"/>
        </w:rPr>
        <w:t>4.</w:t>
      </w:r>
      <w:r w:rsidR="0079646F" w:rsidRPr="0079646F">
        <w:rPr>
          <w:rFonts w:ascii="方正楷体简体" w:eastAsia="方正楷体简体" w:cs="方正楷体简体" w:hint="eastAsia"/>
          <w:sz w:val="21"/>
          <w:szCs w:val="21"/>
        </w:rPr>
        <w:t>截稿日期：</w:t>
      </w:r>
      <w:r w:rsidR="0079646F" w:rsidRPr="0079646F">
        <w:rPr>
          <w:rFonts w:ascii="方正楷体简体" w:eastAsia="方正楷体简体" w:cs="方正楷体简体"/>
          <w:sz w:val="21"/>
          <w:szCs w:val="21"/>
        </w:rPr>
        <w:t>2021</w:t>
      </w:r>
      <w:r w:rsidR="0079646F" w:rsidRPr="0079646F">
        <w:rPr>
          <w:rFonts w:ascii="方正楷体简体" w:eastAsia="方正楷体简体" w:cs="方正楷体简体" w:hint="eastAsia"/>
          <w:sz w:val="21"/>
          <w:szCs w:val="21"/>
        </w:rPr>
        <w:t>年</w:t>
      </w:r>
      <w:r w:rsidR="0079646F" w:rsidRPr="0079646F">
        <w:rPr>
          <w:rFonts w:ascii="方正楷体简体" w:eastAsia="方正楷体简体" w:cs="方正楷体简体"/>
          <w:sz w:val="21"/>
          <w:szCs w:val="21"/>
        </w:rPr>
        <w:t>6</w:t>
      </w:r>
      <w:r w:rsidR="0079646F" w:rsidRPr="0079646F">
        <w:rPr>
          <w:rFonts w:ascii="方正楷体简体" w:eastAsia="方正楷体简体" w:cs="方正楷体简体" w:hint="eastAsia"/>
          <w:sz w:val="21"/>
          <w:szCs w:val="21"/>
        </w:rPr>
        <w:t>月</w:t>
      </w:r>
      <w:r w:rsidR="0079646F" w:rsidRPr="0079646F">
        <w:rPr>
          <w:rFonts w:ascii="方正楷体简体" w:eastAsia="方正楷体简体" w:cs="方正楷体简体"/>
          <w:sz w:val="21"/>
          <w:szCs w:val="21"/>
        </w:rPr>
        <w:t>20</w:t>
      </w:r>
      <w:r w:rsidR="0079646F" w:rsidRPr="0079646F">
        <w:rPr>
          <w:rFonts w:ascii="方正楷体简体" w:eastAsia="方正楷体简体" w:cs="方正楷体简体" w:hint="eastAsia"/>
          <w:sz w:val="21"/>
          <w:szCs w:val="21"/>
        </w:rPr>
        <w:t>日。</w:t>
      </w:r>
    </w:p>
    <w:p w14:paraId="15C344BC" w14:textId="4C9AFF85" w:rsidR="0079646F" w:rsidRPr="0079646F" w:rsidRDefault="00B96BE5" w:rsidP="00B96BE5">
      <w:pPr>
        <w:pStyle w:val="a5"/>
        <w:spacing w:line="360" w:lineRule="exact"/>
        <w:ind w:firstLineChars="200" w:firstLine="420"/>
        <w:rPr>
          <w:rFonts w:ascii="方正楷体简体" w:eastAsia="方正楷体简体" w:cs="方正楷体简体"/>
          <w:sz w:val="21"/>
          <w:szCs w:val="21"/>
        </w:rPr>
      </w:pPr>
      <w:r>
        <w:rPr>
          <w:rFonts w:ascii="方正楷体简体" w:eastAsia="方正楷体简体" w:cs="方正楷体简体"/>
          <w:sz w:val="21"/>
          <w:szCs w:val="21"/>
          <w:lang w:val="en-US"/>
        </w:rPr>
        <w:t>5.</w:t>
      </w:r>
      <w:r w:rsidR="0079646F" w:rsidRPr="0079646F">
        <w:rPr>
          <w:rFonts w:ascii="方正楷体简体" w:eastAsia="方正楷体简体" w:cs="方正楷体简体" w:hint="eastAsia"/>
          <w:sz w:val="21"/>
          <w:szCs w:val="21"/>
        </w:rPr>
        <w:t>本次征文设一、二、三等奖若干名。获奖文章均颁发获奖证书，部分文章可能在《上海教育科研》杂志发表，或在征文活动结束后结集成书出版。</w:t>
      </w:r>
    </w:p>
    <w:p w14:paraId="7F309DCF" w14:textId="77777777" w:rsidR="0079646F"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hint="eastAsia"/>
          <w:sz w:val="21"/>
          <w:szCs w:val="21"/>
        </w:rPr>
        <w:t>本次征文不收取任何费用。</w:t>
      </w:r>
    </w:p>
    <w:p w14:paraId="07231347" w14:textId="77777777" w:rsidR="0079646F" w:rsidRPr="0079646F" w:rsidRDefault="0079646F" w:rsidP="00B96BE5">
      <w:pPr>
        <w:pStyle w:val="a5"/>
        <w:spacing w:line="360" w:lineRule="exact"/>
        <w:ind w:firstLine="397"/>
        <w:rPr>
          <w:rFonts w:ascii="方正楷体简体" w:eastAsia="方正楷体简体" w:cs="方正楷体简体"/>
          <w:sz w:val="21"/>
          <w:szCs w:val="21"/>
        </w:rPr>
      </w:pPr>
      <w:r w:rsidRPr="0079646F">
        <w:rPr>
          <w:rFonts w:ascii="方正楷体简体" w:eastAsia="方正楷体简体" w:cs="方正楷体简体"/>
          <w:sz w:val="21"/>
          <w:szCs w:val="21"/>
        </w:rPr>
        <w:t xml:space="preserve"> </w:t>
      </w:r>
    </w:p>
    <w:p w14:paraId="67A72EAE" w14:textId="77777777" w:rsidR="0079646F" w:rsidRPr="0079646F" w:rsidRDefault="0079646F" w:rsidP="00B96BE5">
      <w:pPr>
        <w:pStyle w:val="a5"/>
        <w:spacing w:line="360" w:lineRule="exact"/>
        <w:ind w:firstLine="397"/>
        <w:jc w:val="right"/>
        <w:rPr>
          <w:rFonts w:ascii="方正楷体简体" w:eastAsia="方正楷体简体" w:cs="方正楷体简体"/>
          <w:sz w:val="21"/>
          <w:szCs w:val="21"/>
        </w:rPr>
      </w:pPr>
      <w:r w:rsidRPr="0079646F">
        <w:rPr>
          <w:rFonts w:ascii="方正楷体简体" w:eastAsia="方正楷体简体" w:cs="方正楷体简体"/>
          <w:sz w:val="21"/>
          <w:szCs w:val="21"/>
        </w:rPr>
        <w:t xml:space="preserve">  </w:t>
      </w:r>
      <w:r w:rsidRPr="0079646F">
        <w:rPr>
          <w:rFonts w:ascii="方正楷体简体" w:eastAsia="方正楷体简体" w:cs="方正楷体简体" w:hint="eastAsia"/>
          <w:sz w:val="21"/>
          <w:szCs w:val="21"/>
        </w:rPr>
        <w:t>长三角城市群教育科研协作共同体</w:t>
      </w:r>
    </w:p>
    <w:p w14:paraId="13B6C9A4" w14:textId="77777777" w:rsidR="0079646F" w:rsidRPr="0079646F" w:rsidRDefault="0079646F" w:rsidP="00B96BE5">
      <w:pPr>
        <w:pStyle w:val="a5"/>
        <w:spacing w:line="360" w:lineRule="exact"/>
        <w:ind w:firstLine="397"/>
        <w:jc w:val="right"/>
        <w:rPr>
          <w:rFonts w:ascii="方正楷体简体" w:eastAsia="方正楷体简体" w:cs="方正楷体简体"/>
          <w:sz w:val="21"/>
          <w:szCs w:val="21"/>
        </w:rPr>
      </w:pPr>
      <w:r w:rsidRPr="0079646F">
        <w:rPr>
          <w:rFonts w:ascii="方正楷体简体" w:eastAsia="方正楷体简体" w:cs="方正楷体简体" w:hint="eastAsia"/>
          <w:sz w:val="21"/>
          <w:szCs w:val="21"/>
        </w:rPr>
        <w:t>上海市教育科学研究院普教所</w:t>
      </w:r>
    </w:p>
    <w:p w14:paraId="666258CA" w14:textId="77777777" w:rsidR="0079646F" w:rsidRPr="0079646F" w:rsidRDefault="0079646F" w:rsidP="00B96BE5">
      <w:pPr>
        <w:pStyle w:val="a5"/>
        <w:spacing w:line="360" w:lineRule="exact"/>
        <w:ind w:firstLine="397"/>
        <w:jc w:val="right"/>
        <w:rPr>
          <w:rFonts w:ascii="方正楷体简体" w:eastAsia="方正楷体简体" w:cs="方正楷体简体"/>
          <w:sz w:val="21"/>
          <w:szCs w:val="21"/>
        </w:rPr>
      </w:pPr>
      <w:r w:rsidRPr="0079646F">
        <w:rPr>
          <w:rFonts w:ascii="方正楷体简体" w:eastAsia="方正楷体简体" w:cs="方正楷体简体"/>
          <w:sz w:val="21"/>
          <w:szCs w:val="21"/>
        </w:rPr>
        <w:t xml:space="preserve">  </w:t>
      </w:r>
      <w:r w:rsidRPr="0079646F">
        <w:rPr>
          <w:rFonts w:ascii="方正楷体简体" w:eastAsia="方正楷体简体" w:cs="方正楷体简体" w:hint="eastAsia"/>
          <w:sz w:val="21"/>
          <w:szCs w:val="21"/>
        </w:rPr>
        <w:t>上海市黄浦区教育局</w:t>
      </w:r>
    </w:p>
    <w:p w14:paraId="65F530C5" w14:textId="77777777" w:rsidR="0079646F" w:rsidRPr="0079646F" w:rsidRDefault="0079646F" w:rsidP="00B96BE5">
      <w:pPr>
        <w:pStyle w:val="a5"/>
        <w:spacing w:line="360" w:lineRule="exact"/>
        <w:ind w:firstLine="397"/>
        <w:jc w:val="right"/>
        <w:rPr>
          <w:rFonts w:ascii="方正楷体简体" w:eastAsia="方正楷体简体" w:cs="方正楷体简体"/>
          <w:sz w:val="21"/>
          <w:szCs w:val="21"/>
        </w:rPr>
      </w:pPr>
      <w:r w:rsidRPr="0079646F">
        <w:rPr>
          <w:rFonts w:ascii="方正楷体简体" w:eastAsia="方正楷体简体" w:cs="方正楷体简体"/>
          <w:sz w:val="21"/>
          <w:szCs w:val="21"/>
        </w:rPr>
        <w:t xml:space="preserve">           </w:t>
      </w:r>
      <w:r w:rsidRPr="0079646F">
        <w:rPr>
          <w:rFonts w:ascii="方正楷体简体" w:eastAsia="方正楷体简体" w:cs="方正楷体简体" w:hint="eastAsia"/>
          <w:sz w:val="21"/>
          <w:szCs w:val="21"/>
        </w:rPr>
        <w:t>《上海教育科研》编辑部</w:t>
      </w:r>
    </w:p>
    <w:p w14:paraId="29BAEA58" w14:textId="2F65765F" w:rsidR="0079646F" w:rsidRPr="00B96BE5" w:rsidRDefault="0079646F" w:rsidP="00B96BE5">
      <w:pPr>
        <w:pStyle w:val="a5"/>
        <w:spacing w:line="360" w:lineRule="exact"/>
        <w:ind w:firstLine="397"/>
        <w:jc w:val="right"/>
        <w:rPr>
          <w:rFonts w:ascii="方正楷体简体" w:eastAsia="方正楷体简体" w:cs="方正楷体简体"/>
          <w:sz w:val="18"/>
          <w:szCs w:val="18"/>
        </w:rPr>
      </w:pPr>
      <w:r w:rsidRPr="0079646F">
        <w:rPr>
          <w:rFonts w:ascii="方正楷体简体" w:eastAsia="方正楷体简体" w:cs="方正楷体简体"/>
          <w:sz w:val="21"/>
          <w:szCs w:val="21"/>
        </w:rPr>
        <w:t xml:space="preserve">                                    2021</w:t>
      </w:r>
      <w:r w:rsidRPr="0079646F">
        <w:rPr>
          <w:rFonts w:ascii="方正楷体简体" w:eastAsia="方正楷体简体" w:cs="方正楷体简体" w:hint="eastAsia"/>
          <w:sz w:val="21"/>
          <w:szCs w:val="21"/>
        </w:rPr>
        <w:t>年</w:t>
      </w:r>
      <w:r w:rsidRPr="0079646F">
        <w:rPr>
          <w:rFonts w:ascii="方正楷体简体" w:eastAsia="方正楷体简体" w:cs="方正楷体简体"/>
          <w:sz w:val="21"/>
          <w:szCs w:val="21"/>
        </w:rPr>
        <w:t>3</w:t>
      </w:r>
      <w:r w:rsidRPr="0079646F">
        <w:rPr>
          <w:rFonts w:ascii="方正楷体简体" w:eastAsia="方正楷体简体" w:cs="方正楷体简体" w:hint="eastAsia"/>
          <w:sz w:val="21"/>
          <w:szCs w:val="21"/>
        </w:rPr>
        <w:t>月</w:t>
      </w:r>
    </w:p>
    <w:sectPr w:rsidR="0079646F" w:rsidRPr="00B96BE5" w:rsidSect="00FD082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316EE" w14:textId="77777777" w:rsidR="00BD75E6" w:rsidRDefault="00BD75E6" w:rsidP="0079646F">
      <w:r>
        <w:separator/>
      </w:r>
    </w:p>
  </w:endnote>
  <w:endnote w:type="continuationSeparator" w:id="0">
    <w:p w14:paraId="47AD45C1" w14:textId="77777777" w:rsidR="00BD75E6" w:rsidRDefault="00BD75E6" w:rsidP="0079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4824" w14:textId="77777777" w:rsidR="00BD75E6" w:rsidRDefault="00BD75E6" w:rsidP="0079646F">
      <w:r>
        <w:separator/>
      </w:r>
    </w:p>
  </w:footnote>
  <w:footnote w:type="continuationSeparator" w:id="0">
    <w:p w14:paraId="052D3F66" w14:textId="77777777" w:rsidR="00BD75E6" w:rsidRDefault="00BD75E6" w:rsidP="00796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F2189"/>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92"/>
    <w:rsid w:val="000C2EBF"/>
    <w:rsid w:val="004C6B4B"/>
    <w:rsid w:val="0079646F"/>
    <w:rsid w:val="008D6492"/>
    <w:rsid w:val="00B96BE5"/>
    <w:rsid w:val="00BD75E6"/>
    <w:rsid w:val="00FA507B"/>
    <w:rsid w:val="049E462B"/>
    <w:rsid w:val="11F355DB"/>
    <w:rsid w:val="1C96259F"/>
    <w:rsid w:val="51B75D25"/>
    <w:rsid w:val="56AB3443"/>
    <w:rsid w:val="57CE2E06"/>
    <w:rsid w:val="71E82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A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92"/>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6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646F"/>
    <w:rPr>
      <w:rFonts w:ascii="Calibri" w:hAnsi="Calibri" w:cs="宋体"/>
      <w:kern w:val="2"/>
      <w:sz w:val="18"/>
      <w:szCs w:val="18"/>
    </w:rPr>
  </w:style>
  <w:style w:type="paragraph" w:styleId="a4">
    <w:name w:val="footer"/>
    <w:basedOn w:val="a"/>
    <w:link w:val="Char0"/>
    <w:rsid w:val="0079646F"/>
    <w:pPr>
      <w:tabs>
        <w:tab w:val="center" w:pos="4153"/>
        <w:tab w:val="right" w:pos="8306"/>
      </w:tabs>
      <w:snapToGrid w:val="0"/>
      <w:jc w:val="left"/>
    </w:pPr>
    <w:rPr>
      <w:sz w:val="18"/>
      <w:szCs w:val="18"/>
    </w:rPr>
  </w:style>
  <w:style w:type="character" w:customStyle="1" w:styleId="Char0">
    <w:name w:val="页脚 Char"/>
    <w:basedOn w:val="a0"/>
    <w:link w:val="a4"/>
    <w:rsid w:val="0079646F"/>
    <w:rPr>
      <w:rFonts w:ascii="Calibri" w:hAnsi="Calibri" w:cs="宋体"/>
      <w:kern w:val="2"/>
      <w:sz w:val="18"/>
      <w:szCs w:val="18"/>
    </w:rPr>
  </w:style>
  <w:style w:type="paragraph" w:customStyle="1" w:styleId="a5">
    <w:name w:val="[基本段落]"/>
    <w:basedOn w:val="a"/>
    <w:uiPriority w:val="99"/>
    <w:rsid w:val="0079646F"/>
    <w:pPr>
      <w:autoSpaceDE w:val="0"/>
      <w:autoSpaceDN w:val="0"/>
      <w:adjustRightInd w:val="0"/>
      <w:spacing w:line="288" w:lineRule="auto"/>
      <w:textAlignment w:val="center"/>
    </w:pPr>
    <w:rPr>
      <w:rFonts w:ascii="Adobe 宋体 Std L" w:eastAsia="Adobe 宋体 Std L" w:hAnsi="Times New Roman" w:cs="Adobe 宋体 Std L"/>
      <w:color w:val="000000"/>
      <w:kern w:val="0"/>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92"/>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6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646F"/>
    <w:rPr>
      <w:rFonts w:ascii="Calibri" w:hAnsi="Calibri" w:cs="宋体"/>
      <w:kern w:val="2"/>
      <w:sz w:val="18"/>
      <w:szCs w:val="18"/>
    </w:rPr>
  </w:style>
  <w:style w:type="paragraph" w:styleId="a4">
    <w:name w:val="footer"/>
    <w:basedOn w:val="a"/>
    <w:link w:val="Char0"/>
    <w:rsid w:val="0079646F"/>
    <w:pPr>
      <w:tabs>
        <w:tab w:val="center" w:pos="4153"/>
        <w:tab w:val="right" w:pos="8306"/>
      </w:tabs>
      <w:snapToGrid w:val="0"/>
      <w:jc w:val="left"/>
    </w:pPr>
    <w:rPr>
      <w:sz w:val="18"/>
      <w:szCs w:val="18"/>
    </w:rPr>
  </w:style>
  <w:style w:type="character" w:customStyle="1" w:styleId="Char0">
    <w:name w:val="页脚 Char"/>
    <w:basedOn w:val="a0"/>
    <w:link w:val="a4"/>
    <w:rsid w:val="0079646F"/>
    <w:rPr>
      <w:rFonts w:ascii="Calibri" w:hAnsi="Calibri" w:cs="宋体"/>
      <w:kern w:val="2"/>
      <w:sz w:val="18"/>
      <w:szCs w:val="18"/>
    </w:rPr>
  </w:style>
  <w:style w:type="paragraph" w:customStyle="1" w:styleId="a5">
    <w:name w:val="[基本段落]"/>
    <w:basedOn w:val="a"/>
    <w:uiPriority w:val="99"/>
    <w:rsid w:val="0079646F"/>
    <w:pPr>
      <w:autoSpaceDE w:val="0"/>
      <w:autoSpaceDN w:val="0"/>
      <w:adjustRightInd w:val="0"/>
      <w:spacing w:line="288" w:lineRule="auto"/>
      <w:textAlignment w:val="center"/>
    </w:pPr>
    <w:rPr>
      <w:rFonts w:ascii="Adobe 宋体 Std L" w:eastAsia="Adobe 宋体 Std L" w:hAnsi="Times New Roman" w:cs="Adobe 宋体 Std L"/>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黑ˇˍˇ琵</dc:creator>
  <cp:lastModifiedBy>user</cp:lastModifiedBy>
  <cp:revision>2</cp:revision>
  <dcterms:created xsi:type="dcterms:W3CDTF">2021-02-25T03:22:00Z</dcterms:created>
  <dcterms:modified xsi:type="dcterms:W3CDTF">2021-02-25T03:22:00Z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